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Projektantrag: Einführung eines ERP-Systems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Antragsteller</w:t>
            </w:r>
          </w:p>
        </w:tc>
        <w:tc>
          <w:tcPr>
            <w:tcW w:type="dxa" w:w="4873"/>
          </w:tcPr>
          <w:p>
            <w:r>
              <w:t>Interne Projektleitung</w:t>
            </w:r>
          </w:p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Auftraggeber</w:t>
            </w:r>
          </w:p>
        </w:tc>
        <w:tc>
          <w:tcPr>
            <w:tcW w:type="dxa" w:w="4873"/>
          </w:tcPr>
          <w:p>
            <w:r>
              <w:t>Geschäftsführung</w:t>
            </w:r>
          </w:p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Unternehmen</w:t>
            </w:r>
          </w:p>
        </w:tc>
        <w:tc>
          <w:tcPr>
            <w:tcW w:type="dxa" w:w="4873"/>
          </w:tcPr>
          <w:p>
            <w:r>
              <w:t>Maschinenbau, 180 Mitarbeitende, zwei Standorte</w:t>
            </w:r>
          </w:p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Laufzeit</w:t>
            </w:r>
          </w:p>
        </w:tc>
        <w:tc>
          <w:tcPr>
            <w:tcW w:type="dxa" w:w="4873"/>
          </w:tcPr>
          <w:p>
            <w:r>
              <w:t>29 Wochen bis zum stabilen Regelbetrieb</w:t>
            </w:r>
          </w:p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Budgetrahmen</w:t>
            </w:r>
          </w:p>
        </w:tc>
        <w:tc>
          <w:tcPr>
            <w:tcW w:type="dxa" w:w="4873"/>
          </w:tcPr>
          <w:p>
            <w:r>
              <w:t>400.000 €</w:t>
            </w:r>
          </w:p>
        </w:tc>
      </w:tr>
      <w:tr>
        <w:tc>
          <w:tcPr>
            <w:tcW w:type="dxa" w:w="4873"/>
            <w:shd w:val="clear" w:color="auto" w:fill="EEF2FF"/>
          </w:tcPr>
          <w:p>
            <w:r>
              <w:rPr>
                <w:b/>
              </w:rPr>
              <w:t>Entscheidungsgremium</w:t>
            </w:r>
          </w:p>
        </w:tc>
        <w:tc>
          <w:tcPr>
            <w:tcW w:type="dxa" w:w="4873"/>
          </w:tcPr>
          <w:p>
            <w:r>
              <w:t>Lenkungsausschuss</w:t>
            </w:r>
          </w:p>
        </w:tc>
      </w:tr>
    </w:tbl>
    <w:p>
      <w:pPr>
        <w:pStyle w:val="Heading1"/>
      </w:pPr>
      <w:r>
        <w:rPr>
          <w:color w:val="4F46E5"/>
        </w:rPr>
        <w:t>1. Ausgangslage</w:t>
      </w:r>
    </w:p>
    <w:p>
      <w:r>
        <w:t>Produktionsplanung, Materialwirtschaft und Lager laufen heute über ein altes Fertigungssystem und zahlreiche Excel-Insellösungen. Daten werden an beiden Standorten unterschiedlich gepflegt, Übergaben an die Finanzbuchhaltung (DATEV) erfolgen manuell.</w:t>
      </w:r>
    </w:p>
    <w:p>
      <w:pPr>
        <w:pStyle w:val="Heading1"/>
      </w:pPr>
      <w:r>
        <w:rPr>
          <w:color w:val="4F46E5"/>
        </w:rPr>
        <w:t>2. Ziele und Nutzen</w:t>
      </w:r>
    </w:p>
    <w:p>
      <w:r>
        <w:t>Ein neues ERP-System schafft ein einheitliches, standortübergreifendes Prozess- und Datenmodell.</w:t>
      </w:r>
    </w:p>
    <w:p>
      <w:pPr>
        <w:pStyle w:val="ListBullet"/>
      </w:pPr>
      <w:r>
        <w:t>Altes Fertigungssystem und Excel-Insellösungen sind abgelöst.</w:t>
      </w:r>
    </w:p>
    <w:p>
      <w:pPr>
        <w:pStyle w:val="ListBullet"/>
      </w:pPr>
      <w:r>
        <w:t>Produktionsplanung, Materialwirtschaft, Lager und Finanzübergaben laufen in einem System.</w:t>
      </w:r>
    </w:p>
    <w:p>
      <w:pPr>
        <w:pStyle w:val="ListBullet"/>
      </w:pPr>
      <w:r>
        <w:t>Lagerbuchungen erfolgen per Barcode an beiden Standorten.</w:t>
      </w:r>
    </w:p>
    <w:p>
      <w:pPr>
        <w:pStyle w:val="ListBullet"/>
      </w:pPr>
      <w:r>
        <w:t>Die Übergabe an DATEV läuft automatisch und ist abgestimmt.</w:t>
      </w:r>
    </w:p>
    <w:p>
      <w:pPr>
        <w:pStyle w:val="ListBullet"/>
      </w:pPr>
      <w:r>
        <w:t>Stabiler Regelbetrieb an beiden Standorten innerhalb von neun Monaten.</w:t>
      </w:r>
    </w:p>
    <w:p>
      <w:pPr>
        <w:pStyle w:val="Heading1"/>
      </w:pPr>
      <w:r>
        <w:rPr>
          <w:color w:val="4F46E5"/>
        </w:rPr>
        <w:t>3. Umfang</w:t>
      </w:r>
    </w:p>
    <w:p>
      <w:r>
        <w:t>Im Umfang: Materialwirtschaft, Produktionsplanung mit Stücklisten und Arbeitsplänen, Barcode-Lager, Einkauf, DATEV-Schnittstelle, Migration von Stammdaten und offenen Vorgängen, Schulung der Anwender beider Standorte.</w:t>
      </w:r>
    </w:p>
    <w:p>
      <w:pPr>
        <w:pStyle w:val="Heading1"/>
      </w:pPr>
      <w:r>
        <w:rPr>
          <w:color w:val="4F46E5"/>
        </w:rPr>
        <w:t>4. Vorgehen und Meilensteine</w:t>
      </w:r>
    </w:p>
    <w:p>
      <w:r>
        <w:t>Zehn Phasen über 29 Wochen, teilweise überlappend. Wichtigste Meilensteine:</w:t>
      </w:r>
    </w:p>
    <w:p>
      <w:pPr>
        <w:pStyle w:val="ListBullet"/>
      </w:pPr>
      <w:r>
        <w:t>Woche 2: Genehmigter Projektauftrag mit Umfang, Ressourcen und Zieltermin</w:t>
      </w:r>
    </w:p>
    <w:p>
      <w:pPr>
        <w:pStyle w:val="ListBullet"/>
      </w:pPr>
      <w:r>
        <w:t>Woche 5: Abgenommene Fit-Gap-Matrix</w:t>
      </w:r>
    </w:p>
    <w:p>
      <w:pPr>
        <w:pStyle w:val="ListBullet"/>
      </w:pPr>
      <w:r>
        <w:t>Woche 14: Fachlich freigegebener Migrationsprobelauf</w:t>
      </w:r>
    </w:p>
    <w:p>
      <w:pPr>
        <w:pStyle w:val="ListBullet"/>
      </w:pPr>
      <w:r>
        <w:t>Woche 19: Barcode- und Produktionspilot an beiden Standorten abgeschlossen</w:t>
      </w:r>
    </w:p>
    <w:p>
      <w:pPr>
        <w:pStyle w:val="ListBullet"/>
      </w:pPr>
      <w:r>
        <w:t>Woche 23: Integrierter Test ohne offene kritische Fehler abgenommen</w:t>
      </w:r>
    </w:p>
    <w:p>
      <w:pPr>
        <w:pStyle w:val="ListBullet"/>
      </w:pPr>
      <w:r>
        <w:t>Woche 29: Stabiler Regelbetrieb mit abgestimmten Beständen und DATEV-Übergabe</w:t>
      </w:r>
    </w:p>
    <w:p>
      <w:pPr>
        <w:pStyle w:val="Heading1"/>
      </w:pPr>
      <w:r>
        <w:rPr>
          <w:color w:val="4F46E5"/>
        </w:rPr>
        <w:t>5. Budget</w:t>
      </w:r>
    </w:p>
    <w:p>
      <w:r>
        <w:t>Budgetrahmen 400.000 €, aufgeteilt nach Positionen:</w:t>
      </w:r>
    </w:p>
    <w:p>
      <w:pPr>
        <w:pStyle w:val="ListBullet"/>
      </w:pPr>
      <w:r>
        <w:t>Externe Einführung und Projektsteuerung: 160.000 €</w:t>
      </w:r>
    </w:p>
    <w:p>
      <w:pPr>
        <w:pStyle w:val="ListBullet"/>
      </w:pPr>
      <w:r>
        <w:t>ERP-Software und Lizenzen: 81.000 €</w:t>
      </w:r>
    </w:p>
    <w:p>
      <w:pPr>
        <w:pStyle w:val="ListBullet"/>
      </w:pPr>
      <w:r>
        <w:t>Datenmigration und Schnittstellen: 64.250 €</w:t>
      </w:r>
    </w:p>
    <w:p>
      <w:pPr>
        <w:pStyle w:val="ListBullet"/>
      </w:pPr>
      <w:r>
        <w:t>Tests, Schulungen und Veränderungsbegleitung: 49.750 €</w:t>
      </w:r>
    </w:p>
    <w:p>
      <w:pPr>
        <w:pStyle w:val="ListBullet"/>
      </w:pPr>
      <w:r>
        <w:t>Barcode-Lager und technische Infrastruktur: 45.000 €</w:t>
      </w:r>
    </w:p>
    <w:p>
      <w:pPr>
        <w:pStyle w:val="Heading1"/>
      </w:pPr>
      <w:r>
        <w:rPr>
          <w:color w:val="4F46E5"/>
        </w:rPr>
        <w:t>6. Größte Risiken</w:t>
      </w:r>
    </w:p>
    <w:p>
      <w:pPr>
        <w:pStyle w:val="ListBullet"/>
      </w:pPr>
      <w:r>
        <w:t>Unvollständige Anforderungen und Sonderwünsche: verbindliches Scope- und Change-Request-Verfahren bis Woche 5.</w:t>
      </w:r>
    </w:p>
    <w:p>
      <w:pPr>
        <w:pStyle w:val="ListBullet"/>
      </w:pPr>
      <w:r>
        <w:t>Schlechte Stammdatenqualität: Datenverantwortliche bis Woche 10, vollständiger Migrationsprobelauf bis Woche 14.</w:t>
      </w:r>
    </w:p>
    <w:p>
      <w:pPr>
        <w:pStyle w:val="ListBullet"/>
      </w:pPr>
      <w:r>
        <w:t>Fehlerhafte Produktions- und Materialbedarfsplanung: Planungsparameter bis Woche 10 validieren, 20 repräsentative Fertigungsabläufe testen.</w:t>
      </w:r>
    </w:p>
    <w:p>
      <w:pPr>
        <w:pStyle w:val="ListBullet"/>
      </w:pPr>
      <w:r>
        <w:t>Fehler in der DATEV-Übergabe: Mapping bis Woche 9, vollständige Testbuchungen in den Wochen 20 bis 23.</w:t>
      </w:r>
    </w:p>
    <w:p>
      <w:pPr>
        <w:pStyle w:val="Heading1"/>
      </w:pPr>
      <w:r>
        <w:rPr>
          <w:color w:val="4F46E5"/>
        </w:rPr>
        <w:t>7. Beteiligte</w:t>
      </w:r>
    </w:p>
    <w:p>
      <w:pPr>
        <w:pStyle w:val="ListBullet"/>
      </w:pPr>
      <w:r>
        <w:t>Geschäftsführung und Lenkungsausschuss: Entscheidungen zu Budget, Umfang und Zieltermin</w:t>
      </w:r>
    </w:p>
    <w:p>
      <w:pPr>
        <w:pStyle w:val="ListBullet"/>
      </w:pPr>
      <w:r>
        <w:t>Interne Projektleitung: Steuerung, Termine, Eskalationen</w:t>
      </w:r>
    </w:p>
    <w:p>
      <w:pPr>
        <w:pStyle w:val="ListBullet"/>
      </w:pPr>
      <w:r>
        <w:t>ERP-Anbieter und Einführungspartner: Lösungsdesign, Konfiguration, Migration, Tests</w:t>
      </w:r>
    </w:p>
    <w:p>
      <w:pPr>
        <w:pStyle w:val="ListBullet"/>
      </w:pPr>
      <w:r>
        <w:t>IT-Leitung: Infrastruktur, Schnittstellen, Berechtigungen</w:t>
      </w:r>
    </w:p>
    <w:p>
      <w:pPr>
        <w:pStyle w:val="ListBullet"/>
      </w:pPr>
      <w:r>
        <w:t>Fachbereiche Produktion, Einkauf, Lager, Finanzbuchhaltung, Qualitätsmanagement</w:t>
      </w:r>
    </w:p>
    <w:p>
      <w:pPr>
        <w:pStyle w:val="ListBullet"/>
      </w:pPr>
      <w:r>
        <w:t>Schlüsselanwender beider Standorte</w:t>
      </w:r>
    </w:p>
    <w:p>
      <w:pPr>
        <w:pStyle w:val="ListBullet"/>
      </w:pPr>
      <w:r>
        <w:t>Betriebsrat (sofern vorhanden) und Datenschutzbeauftragte/r</w:t>
      </w:r>
    </w:p>
    <w:p>
      <w:pPr>
        <w:pStyle w:val="Heading1"/>
      </w:pPr>
      <w:r>
        <w:rPr>
          <w:color w:val="4F46E5"/>
        </w:rPr>
        <w:t>8. Pflichten mit Vorlauf</w:t>
      </w:r>
    </w:p>
    <w:p>
      <w:pPr>
        <w:pStyle w:val="ListBullet"/>
      </w:pPr>
      <w:r>
        <w:t>Beteiligung des Betriebsrats, da das System Leistung oder Verhalten erfassen kann: Woche 1 bis 10</w:t>
      </w:r>
    </w:p>
    <w:p>
      <w:pPr>
        <w:pStyle w:val="ListBullet"/>
      </w:pPr>
      <w:r>
        <w:t>Auftragsverarbeitungsvertrag mit ERP-Anbieter und Einführungspartner: Woche 2 bis 8</w:t>
      </w:r>
    </w:p>
    <w:p>
      <w:pPr>
        <w:pStyle w:val="ListBullet"/>
      </w:pPr>
      <w:r>
        <w:t>Datenschutzprüfung, ggf. Datenschutz-Folgenabschätzung: Woche 2 bis 9</w:t>
      </w:r>
    </w:p>
    <w:p>
      <w:pPr>
        <w:pStyle w:val="ListBullet"/>
      </w:pPr>
      <w:r>
        <w:t>Prüfung und Freigabe der DATEV-Übergabe: Woche 6 bis 23</w:t>
      </w:r>
    </w:p>
    <w:p>
      <w:pPr>
        <w:pStyle w:val="Heading1"/>
      </w:pPr>
      <w:r>
        <w:rPr>
          <w:color w:val="4F46E5"/>
        </w:rPr>
        <w:t>9. Beschlussvorschlag und nächste Schritte</w:t>
      </w:r>
    </w:p>
    <w:p>
      <w:r>
        <w:t>Der Lenkungsausschuss genehmigt das Projekt mit einem Budgetrahmen von 400.000 € und dem Zieltermin für den Regelbetrieb nach 29 Wochen.</w:t>
      </w:r>
    </w:p>
    <w:p>
      <w:pPr>
        <w:pStyle w:val="ListBullet"/>
      </w:pPr>
      <w:r>
        <w:t>Kick-off mit Geschäftsführung, Projektleitung und ERP-Anbieter innerhalb von 5 Werktagen</w:t>
      </w:r>
    </w:p>
    <w:p>
      <w:pPr>
        <w:pStyle w:val="ListBullet"/>
      </w:pPr>
      <w:r>
        <w:t>Schlüsselanwender je Bereich benennen und freistellen innerhalb von 1 Woche</w:t>
      </w:r>
    </w:p>
    <w:p>
      <w:pPr>
        <w:pStyle w:val="ListBullet"/>
      </w:pPr>
      <w:r>
        <w:t>Termin für Datenschutz-, Betriebsrat- und IT-Vorabstimmung innerhalb von 2 Wochen</w:t>
      </w:r>
    </w:p>
    <w:p>
      <w:pPr>
        <w:pStyle w:val="Heading1"/>
      </w:pPr>
      <w:r>
        <w:rPr>
          <w:color w:val="4F46E5"/>
        </w:rPr>
        <w:t>Freigabe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color="auto" w:fill="EEF2FF"/>
          </w:tcPr>
          <w:p>
            <w:r>
              <w:t>Rolle</w:t>
            </w:r>
          </w:p>
        </w:tc>
        <w:tc>
          <w:tcPr>
            <w:tcW w:type="dxa" w:w="3249"/>
            <w:shd w:val="clear" w:color="auto" w:fill="EEF2FF"/>
          </w:tcPr>
          <w:p>
            <w:r>
              <w:t>Name</w:t>
            </w:r>
          </w:p>
        </w:tc>
        <w:tc>
          <w:tcPr>
            <w:tcW w:type="dxa" w:w="3249"/>
            <w:shd w:val="clear" w:color="auto" w:fill="EEF2FF"/>
          </w:tcPr>
          <w:p>
            <w:r>
              <w:t>Datum / Unterschrift</w:t>
            </w:r>
          </w:p>
        </w:tc>
      </w:tr>
      <w:tr>
        <w:tc>
          <w:tcPr>
            <w:tcW w:type="dxa" w:w="3249"/>
          </w:tcPr>
          <w:p>
            <w:r>
              <w:t>Geschäftsführung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Lenkungsausschuss</w:t>
            </w:r>
          </w:p>
        </w:tc>
        <w:tc>
          <w:tcPr>
            <w:tcW w:type="dxa" w:w="3249"/>
          </w:tcPr>
          <w:p/>
        </w:tc>
        <w:tc>
          <w:tcPr>
            <w:tcW w:type="dxa" w:w="3249"/>
          </w:tcPr>
          <w:p/>
        </w:tc>
      </w:tr>
    </w:tbl>
    <w:p/>
    <w:p>
      <w:r>
        <w:rPr>
          <w:color w:val="6B7280"/>
          <w:sz w:val="17"/>
        </w:rPr>
        <w:t>Beispiel erstellt aus einem Projektplan von PathHub AI (pathhub.ai/projektplaene/erp-einfuehrung.html). Zahlen und Termine an das eigene Vorhaben anpassen.</w:t>
      </w:r>
    </w:p>
    <w:sectPr w:rsidR="00FC693F" w:rsidRPr="0006063C" w:rsidSect="00034616">
      <w:pgSz w:w="12240" w:h="15840"/>
      <w:pgMar w:top="1134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