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proposal: ERP implementation</w:t>
      </w:r>
    </w:p>
    <w:tbl>
      <w:tblPr>
        <w:tblStyle w:val="TableGrid"/>
        <w:tblW w:type="auto" w:w="0"/>
        <w:tblLook w:firstColumn="1" w:firstRow="1" w:lastColumn="0" w:lastRow="0" w:noHBand="0" w:noVBand="1" w:val="04A0"/>
      </w:tblPr>
      <w:tblGrid>
        <w:gridCol w:w="4873"/>
        <w:gridCol w:w="4873"/>
      </w:tblGrid>
      <w:tr>
        <w:tc>
          <w:tcPr>
            <w:tcW w:type="dxa" w:w="4873"/>
            <w:shd w:val="clear" w:color="auto" w:fill="EEF2FF"/>
          </w:tcPr>
          <w:p>
            <w:r>
              <w:rPr>
                <w:b/>
              </w:rPr>
              <w:t>Applicant</w:t>
            </w:r>
          </w:p>
        </w:tc>
        <w:tc>
          <w:tcPr>
            <w:tcW w:type="dxa" w:w="4873"/>
          </w:tcPr>
          <w:p>
            <w:r>
              <w:t>Internal project lead</w:t>
            </w:r>
          </w:p>
        </w:tc>
      </w:tr>
      <w:tr>
        <w:tc>
          <w:tcPr>
            <w:tcW w:type="dxa" w:w="4873"/>
            <w:shd w:val="clear" w:color="auto" w:fill="EEF2FF"/>
          </w:tcPr>
          <w:p>
            <w:r>
              <w:rPr>
                <w:b/>
              </w:rPr>
              <w:t>Sponsor</w:t>
            </w:r>
          </w:p>
        </w:tc>
        <w:tc>
          <w:tcPr>
            <w:tcW w:type="dxa" w:w="4873"/>
          </w:tcPr>
          <w:p>
            <w:r>
              <w:t>Managing director</w:t>
            </w:r>
          </w:p>
        </w:tc>
      </w:tr>
      <w:tr>
        <w:tc>
          <w:tcPr>
            <w:tcW w:type="dxa" w:w="4873"/>
            <w:shd w:val="clear" w:color="auto" w:fill="EEF2FF"/>
          </w:tcPr>
          <w:p>
            <w:r>
              <w:rPr>
                <w:b/>
              </w:rPr>
              <w:t>Company</w:t>
            </w:r>
          </w:p>
        </w:tc>
        <w:tc>
          <w:tcPr>
            <w:tcW w:type="dxa" w:w="4873"/>
          </w:tcPr>
          <w:p>
            <w:r>
              <w:t>Machinery manufacturer, 180 employees, two sites</w:t>
            </w:r>
          </w:p>
        </w:tc>
      </w:tr>
      <w:tr>
        <w:tc>
          <w:tcPr>
            <w:tcW w:type="dxa" w:w="4873"/>
            <w:shd w:val="clear" w:color="auto" w:fill="EEF2FF"/>
          </w:tcPr>
          <w:p>
            <w:r>
              <w:rPr>
                <w:b/>
              </w:rPr>
              <w:t>Duration</w:t>
            </w:r>
          </w:p>
        </w:tc>
        <w:tc>
          <w:tcPr>
            <w:tcW w:type="dxa" w:w="4873"/>
          </w:tcPr>
          <w:p>
            <w:r>
              <w:t>29 weeks to stable operations</w:t>
            </w:r>
          </w:p>
        </w:tc>
      </w:tr>
      <w:tr>
        <w:tc>
          <w:tcPr>
            <w:tcW w:type="dxa" w:w="4873"/>
            <w:shd w:val="clear" w:color="auto" w:fill="EEF2FF"/>
          </w:tcPr>
          <w:p>
            <w:r>
              <w:rPr>
                <w:b/>
              </w:rPr>
              <w:t>Budget frame</w:t>
            </w:r>
          </w:p>
        </w:tc>
        <w:tc>
          <w:tcPr>
            <w:tcW w:type="dxa" w:w="4873"/>
          </w:tcPr>
          <w:p>
            <w:r>
              <w:t>€400,000</w:t>
            </w:r>
          </w:p>
        </w:tc>
      </w:tr>
      <w:tr>
        <w:tc>
          <w:tcPr>
            <w:tcW w:type="dxa" w:w="4873"/>
            <w:shd w:val="clear" w:color="auto" w:fill="EEF2FF"/>
          </w:tcPr>
          <w:p>
            <w:r>
              <w:rPr>
                <w:b/>
              </w:rPr>
              <w:t>Decision body</w:t>
            </w:r>
          </w:p>
        </w:tc>
        <w:tc>
          <w:tcPr>
            <w:tcW w:type="dxa" w:w="4873"/>
          </w:tcPr>
          <w:p>
            <w:r>
              <w:t>Steering committee</w:t>
            </w:r>
          </w:p>
        </w:tc>
      </w:tr>
    </w:tbl>
    <w:p>
      <w:pPr>
        <w:pStyle w:val="Heading1"/>
      </w:pPr>
      <w:r>
        <w:rPr>
          <w:color w:val="4F46E5"/>
        </w:rPr>
        <w:t>1. Current situation</w:t>
      </w:r>
    </w:p>
    <w:p>
      <w:r>
        <w:t>Production planning, materials management and the warehouse currently run on an old manufacturing system and numerous Excel solutions. Data is maintained differently at the two sites, and handovers to accounting (DATEV) are manual.</w:t>
      </w:r>
    </w:p>
    <w:p>
      <w:pPr>
        <w:pStyle w:val="Heading1"/>
      </w:pPr>
      <w:r>
        <w:rPr>
          <w:color w:val="4F46E5"/>
        </w:rPr>
        <w:t>2. Goals and benefits</w:t>
      </w:r>
    </w:p>
    <w:p>
      <w:r>
        <w:t>A new ERP system creates one consistent process and data model across both sites.</w:t>
      </w:r>
    </w:p>
    <w:p>
      <w:pPr>
        <w:pStyle w:val="ListBullet"/>
      </w:pPr>
      <w:r>
        <w:t>The old manufacturing system and the Excel solutions are replaced.</w:t>
      </w:r>
    </w:p>
    <w:p>
      <w:pPr>
        <w:pStyle w:val="ListBullet"/>
      </w:pPr>
      <w:r>
        <w:t>Production planning, materials management, warehouse and accounting handovers run in one system.</w:t>
      </w:r>
    </w:p>
    <w:p>
      <w:pPr>
        <w:pStyle w:val="ListBullet"/>
      </w:pPr>
      <w:r>
        <w:t>Warehouse postings are made by barcode at both sites.</w:t>
      </w:r>
    </w:p>
    <w:p>
      <w:pPr>
        <w:pStyle w:val="ListBullet"/>
      </w:pPr>
      <w:r>
        <w:t>The handover to accounting runs automatically and is reconciled.</w:t>
      </w:r>
    </w:p>
    <w:p>
      <w:pPr>
        <w:pStyle w:val="ListBullet"/>
      </w:pPr>
      <w:r>
        <w:t>Stable operations at both sites within nine months.</w:t>
      </w:r>
    </w:p>
    <w:p>
      <w:pPr>
        <w:pStyle w:val="Heading1"/>
      </w:pPr>
      <w:r>
        <w:rPr>
          <w:color w:val="4F46E5"/>
        </w:rPr>
        <w:t>3. Scope</w:t>
      </w:r>
    </w:p>
    <w:p>
      <w:r>
        <w:t>In scope: materials management, production planning with bills of materials and routings, barcode warehouse, purchasing, accounting interface, migration of master data and open transactions, training for users at both sites.</w:t>
      </w:r>
    </w:p>
    <w:p>
      <w:pPr>
        <w:pStyle w:val="Heading1"/>
      </w:pPr>
      <w:r>
        <w:rPr>
          <w:color w:val="4F46E5"/>
        </w:rPr>
        <w:t>4. Approach and milestones</w:t>
      </w:r>
    </w:p>
    <w:p>
      <w:r>
        <w:t>Ten phases over 29 weeks, partly overlapping. Key milestones:</w:t>
      </w:r>
    </w:p>
    <w:p>
      <w:pPr>
        <w:pStyle w:val="ListBullet"/>
      </w:pPr>
      <w:r>
        <w:t>Week 2: Approved project charter with scope, resources and target date</w:t>
      </w:r>
    </w:p>
    <w:p>
      <w:pPr>
        <w:pStyle w:val="ListBullet"/>
      </w:pPr>
      <w:r>
        <w:t>Week 5: Signed-off fit-gap matrix</w:t>
      </w:r>
    </w:p>
    <w:p>
      <w:pPr>
        <w:pStyle w:val="ListBullet"/>
      </w:pPr>
      <w:r>
        <w:t>Week 14: Data migration test run approved by the business</w:t>
      </w:r>
    </w:p>
    <w:p>
      <w:pPr>
        <w:pStyle w:val="ListBullet"/>
      </w:pPr>
      <w:r>
        <w:t>Week 19: Barcode and production pilot completed at both sites</w:t>
      </w:r>
    </w:p>
    <w:p>
      <w:pPr>
        <w:pStyle w:val="ListBullet"/>
      </w:pPr>
      <w:r>
        <w:t>Week 23: Integrated test accepted without open critical defects</w:t>
      </w:r>
    </w:p>
    <w:p>
      <w:pPr>
        <w:pStyle w:val="ListBullet"/>
      </w:pPr>
      <w:r>
        <w:t>Week 29: Stable operations with reconciled stock and accounting handover</w:t>
      </w:r>
    </w:p>
    <w:p>
      <w:pPr>
        <w:pStyle w:val="Heading1"/>
      </w:pPr>
      <w:r>
        <w:rPr>
          <w:color w:val="4F46E5"/>
        </w:rPr>
        <w:t>5. Budget</w:t>
      </w:r>
    </w:p>
    <w:p>
      <w:r>
        <w:t>Budget frame €400,000, split by line item:</w:t>
      </w:r>
    </w:p>
    <w:p>
      <w:pPr>
        <w:pStyle w:val="ListBullet"/>
      </w:pPr>
      <w:r>
        <w:t>External implementation and project management: €160,000</w:t>
      </w:r>
    </w:p>
    <w:p>
      <w:pPr>
        <w:pStyle w:val="ListBullet"/>
      </w:pPr>
      <w:r>
        <w:t>ERP software and licences: €81,000</w:t>
      </w:r>
    </w:p>
    <w:p>
      <w:pPr>
        <w:pStyle w:val="ListBullet"/>
      </w:pPr>
      <w:r>
        <w:t>Data migration and interfaces: €64,250</w:t>
      </w:r>
    </w:p>
    <w:p>
      <w:pPr>
        <w:pStyle w:val="ListBullet"/>
      </w:pPr>
      <w:r>
        <w:t>Testing, training and change support: €49,750</w:t>
      </w:r>
    </w:p>
    <w:p>
      <w:pPr>
        <w:pStyle w:val="ListBullet"/>
      </w:pPr>
      <w:r>
        <w:t>Barcode warehouse and technical infrastructure: €45,000</w:t>
      </w:r>
    </w:p>
    <w:p>
      <w:pPr>
        <w:pStyle w:val="Heading1"/>
      </w:pPr>
      <w:r>
        <w:rPr>
          <w:color w:val="4F46E5"/>
        </w:rPr>
        <w:t>6. Biggest risks</w:t>
      </w:r>
    </w:p>
    <w:p>
      <w:pPr>
        <w:pStyle w:val="ListBullet"/>
      </w:pPr>
      <w:r>
        <w:t>Incomplete requirements and special requests: binding scope and change request process by week 5.</w:t>
      </w:r>
    </w:p>
    <w:p>
      <w:pPr>
        <w:pStyle w:val="ListBullet"/>
      </w:pPr>
      <w:r>
        <w:t>Poor master data quality: data owners by week 10, complete migration test run by week 14.</w:t>
      </w:r>
    </w:p>
    <w:p>
      <w:pPr>
        <w:pStyle w:val="ListBullet"/>
      </w:pPr>
      <w:r>
        <w:t>Wrong production and material requirements planning: validate planning parameters by week 10, test 20 representative production runs.</w:t>
      </w:r>
    </w:p>
    <w:p>
      <w:pPr>
        <w:pStyle w:val="ListBullet"/>
      </w:pPr>
      <w:r>
        <w:t>Errors in the accounting handover: mapping by week 9, complete test postings in weeks 20 to 23.</w:t>
      </w:r>
    </w:p>
    <w:p>
      <w:pPr>
        <w:pStyle w:val="Heading1"/>
      </w:pPr>
      <w:r>
        <w:rPr>
          <w:color w:val="4F46E5"/>
        </w:rPr>
        <w:t>7. Stakeholders</w:t>
      </w:r>
    </w:p>
    <w:p>
      <w:pPr>
        <w:pStyle w:val="ListBullet"/>
      </w:pPr>
      <w:r>
        <w:t>Managing director and steering committee: decisions on budget, scope and target date</w:t>
      </w:r>
    </w:p>
    <w:p>
      <w:pPr>
        <w:pStyle w:val="ListBullet"/>
      </w:pPr>
      <w:r>
        <w:t>Internal project lead: steering, deadlines, escalations</w:t>
      </w:r>
    </w:p>
    <w:p>
      <w:pPr>
        <w:pStyle w:val="ListBullet"/>
      </w:pPr>
      <w:r>
        <w:t>ERP vendor and implementation partner: solution design, configuration, migration, testing</w:t>
      </w:r>
    </w:p>
    <w:p>
      <w:pPr>
        <w:pStyle w:val="ListBullet"/>
      </w:pPr>
      <w:r>
        <w:t>Head of IT: infrastructure, interfaces, permissions</w:t>
      </w:r>
    </w:p>
    <w:p>
      <w:pPr>
        <w:pStyle w:val="ListBullet"/>
      </w:pPr>
      <w:r>
        <w:t>Production, purchasing, warehouse, accounting and quality management</w:t>
      </w:r>
    </w:p>
    <w:p>
      <w:pPr>
        <w:pStyle w:val="ListBullet"/>
      </w:pPr>
      <w:r>
        <w:t>Key users at both sites</w:t>
      </w:r>
    </w:p>
    <w:p>
      <w:pPr>
        <w:pStyle w:val="ListBullet"/>
      </w:pPr>
      <w:r>
        <w:t>Works council (if any) and data protection officer</w:t>
      </w:r>
    </w:p>
    <w:p>
      <w:pPr>
        <w:pStyle w:val="Heading1"/>
      </w:pPr>
      <w:r>
        <w:rPr>
          <w:color w:val="4F46E5"/>
        </w:rPr>
        <w:t>8. Obligations with lead time</w:t>
      </w:r>
    </w:p>
    <w:p>
      <w:pPr>
        <w:pStyle w:val="ListBullet"/>
      </w:pPr>
      <w:r>
        <w:t>Works council involvement, as the system can record performance or behaviour: weeks 1 to 10</w:t>
      </w:r>
    </w:p>
    <w:p>
      <w:pPr>
        <w:pStyle w:val="ListBullet"/>
      </w:pPr>
      <w:r>
        <w:t>Data processing agreement with the ERP vendor and implementation partner: weeks 2 to 8</w:t>
      </w:r>
    </w:p>
    <w:p>
      <w:pPr>
        <w:pStyle w:val="ListBullet"/>
      </w:pPr>
      <w:r>
        <w:t>Data protection review, data protection impact assessment if required: weeks 2 to 9</w:t>
      </w:r>
    </w:p>
    <w:p>
      <w:pPr>
        <w:pStyle w:val="ListBullet"/>
      </w:pPr>
      <w:r>
        <w:t>Review and approval of the accounting handover: weeks 6 to 23</w:t>
      </w:r>
    </w:p>
    <w:p>
      <w:pPr>
        <w:pStyle w:val="Heading1"/>
      </w:pPr>
      <w:r>
        <w:rPr>
          <w:color w:val="4F46E5"/>
        </w:rPr>
        <w:t>9. Proposed decision and next steps</w:t>
      </w:r>
    </w:p>
    <w:p>
      <w:r>
        <w:t>The steering committee approves the project with a budget frame of €400,000 and the target date for stable operations after 29 weeks.</w:t>
      </w:r>
    </w:p>
    <w:p>
      <w:pPr>
        <w:pStyle w:val="ListBullet"/>
      </w:pPr>
      <w:r>
        <w:t>Kick-off with managing director, project lead and ERP vendor within 5 working days</w:t>
      </w:r>
    </w:p>
    <w:p>
      <w:pPr>
        <w:pStyle w:val="ListBullet"/>
      </w:pPr>
      <w:r>
        <w:t>Name and release key users per department within 1 week</w:t>
      </w:r>
    </w:p>
    <w:p>
      <w:pPr>
        <w:pStyle w:val="ListBullet"/>
      </w:pPr>
      <w:r>
        <w:t>Schedule the alignment with data protection, works council and IT within 2 weeks</w:t>
      </w:r>
    </w:p>
    <w:p>
      <w:pPr>
        <w:pStyle w:val="Heading1"/>
      </w:pPr>
      <w:r>
        <w:rPr>
          <w:color w:val="4F46E5"/>
        </w:rPr>
        <w:t>Approval</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EF2FF"/>
          </w:tcPr>
          <w:p>
            <w:r>
              <w:t>Role</w:t>
            </w:r>
          </w:p>
        </w:tc>
        <w:tc>
          <w:tcPr>
            <w:tcW w:type="dxa" w:w="3249"/>
            <w:shd w:val="clear" w:color="auto" w:fill="EEF2FF"/>
          </w:tcPr>
          <w:p>
            <w:r>
              <w:t>Name</w:t>
            </w:r>
          </w:p>
        </w:tc>
        <w:tc>
          <w:tcPr>
            <w:tcW w:type="dxa" w:w="3249"/>
            <w:shd w:val="clear" w:color="auto" w:fill="EEF2FF"/>
          </w:tcPr>
          <w:p>
            <w:r>
              <w:t>Date / signature</w:t>
            </w:r>
          </w:p>
        </w:tc>
      </w:tr>
      <w:tr>
        <w:tc>
          <w:tcPr>
            <w:tcW w:type="dxa" w:w="3249"/>
          </w:tcPr>
          <w:p>
            <w:r>
              <w:t>Managing director</w:t>
            </w:r>
          </w:p>
        </w:tc>
        <w:tc>
          <w:tcPr>
            <w:tcW w:type="dxa" w:w="3249"/>
          </w:tcPr>
          <w:p/>
        </w:tc>
        <w:tc>
          <w:tcPr>
            <w:tcW w:type="dxa" w:w="3249"/>
          </w:tcPr>
          <w:p/>
        </w:tc>
      </w:tr>
      <w:tr>
        <w:tc>
          <w:tcPr>
            <w:tcW w:type="dxa" w:w="3249"/>
          </w:tcPr>
          <w:p>
            <w:r>
              <w:t>Steering committee</w:t>
            </w:r>
          </w:p>
        </w:tc>
        <w:tc>
          <w:tcPr>
            <w:tcW w:type="dxa" w:w="3249"/>
          </w:tcPr>
          <w:p/>
        </w:tc>
        <w:tc>
          <w:tcPr>
            <w:tcW w:type="dxa" w:w="3249"/>
          </w:tcPr>
          <w:p/>
        </w:tc>
      </w:tr>
    </w:tbl>
    <w:p/>
    <w:p>
      <w:r>
        <w:rPr>
          <w:color w:val="6B7280"/>
          <w:sz w:val="17"/>
        </w:rPr>
        <w:t>Example created from a project plan by PathHub AI. Adapt figures and dates to your own initiative.</w:t>
      </w:r>
    </w:p>
    <w:sectPr w:rsidR="00FC693F" w:rsidRPr="0006063C" w:rsidSect="00034616">
      <w:pgSz w:w="12240" w:h="15840"/>
      <w:pgMar w:top="1134"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