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Pflichtenheft – Relaunch der zweisprachigen Website eines Industriezulieferers</w:t>
      </w:r>
    </w:p>
    <w:p>
      <w:pPr>
        <w:pStyle w:val="Subtitle"/>
      </w:pPr>
      <w:r>
        <w:t xml:space="preserve">Pflichtenheft</w:t>
      </w:r>
    </w:p>
    <w:p>
      <w:pPr>
        <w:pStyle w:val="Normal"/>
      </w:pPr>
      <w:r>
        <w:t xml:space="preserve">Dieses Pflichtenheft beschreibt die Umsetzung des Website-Relaunches aus Sicht des Auftragnehmers auf Grundlage des Lastenhefts des Auftraggebers. Der Umfang umfasst ein neues CMS, einen filterbaren Produktkatalog, eine Karriereseite mit Bewerbungsformular, WCAG 2.1 AA, die SEO-Migration sowie Hosting in Deutschland.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1205"/>
        <w:gridCol w:w="2410"/>
        <w:gridCol w:w="3614"/>
        <w:gridCol w:w="2410"/>
      </w:tblGrid>
      <w:tr>
        <w:trPr>
          <w:tblHeader/>
        </w:trPr>
        <w:tc>
          <w:tcPr>
            <w:tcW w:w="1205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Version</w:t>
            </w:r>
          </w:p>
        </w:tc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Datum</w:t>
            </w:r>
          </w:p>
        </w:tc>
        <w:tc>
          <w:tcPr>
            <w:tcW w:w="3614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Autor</w:t>
            </w:r>
          </w:p>
        </w:tc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Status</w:t>
            </w:r>
          </w:p>
        </w:tc>
      </w:tr>
      <w:tr>
        <w:tc>
          <w:tcPr>
            <w:tcW w:w="1205" w:type="dxa"/>
          </w:tcPr>
          <w:p>
            <w:pPr>
              <w:spacing w:before="40" w:after="40"/>
            </w:pPr>
            <w:r>
              <w:t xml:space="preserve">0.1</w:t>
            </w:r>
          </w:p>
        </w:tc>
        <w:tc>
          <w:tcPr>
            <w:tcW w:w="2410" w:type="dxa"/>
          </w:tcPr>
          <w:p>
            <w:pPr>
              <w:spacing w:before="40" w:after="40"/>
            </w:pPr>
            <w:r>
              <w:t xml:space="preserve">9.10.2026</w:t>
            </w:r>
          </w:p>
        </w:tc>
        <w:tc>
          <w:tcPr>
            <w:tcW w:w="3614" w:type="dxa"/>
          </w:tcPr>
          <w:p>
            <w:pPr>
              <w:spacing w:before="40" w:after="40"/>
            </w:pPr>
            <w:r>
              <w:t xml:space="preserve">[Name]</w:t>
            </w:r>
          </w:p>
        </w:tc>
        <w:tc>
          <w:tcPr>
            <w:tcW w:w="2410" w:type="dxa"/>
          </w:tcPr>
          <w:p>
            <w:pPr>
              <w:spacing w:before="40" w:after="40"/>
            </w:pPr>
            <w:r>
              <w:t xml:space="preserve">Entwurf</w:t>
            </w:r>
          </w:p>
        </w:tc>
      </w:tr>
    </w:tbl>
    <w:p/>
    <w:p>
      <w:pPr>
        <w:pStyle w:val="Heading1"/>
      </w:pPr>
      <w:r>
        <w:t xml:space="preserve">1. Einleitung</w:t>
      </w:r>
    </w:p>
    <w:p>
      <w:pPr>
        <w:pStyle w:val="Normal"/>
      </w:pPr>
      <w:r>
        <w:t xml:space="preserve">Grundlage dieses Dokuments ist das Lastenheft des Auftraggebers für den Relaunch der deutsch- und englischsprachigen Website eines Industriezulieferers.</w:t>
      </w:r>
    </w:p>
    <w:p>
      <w:pPr>
        <w:pStyle w:val="Normal"/>
      </w:pPr>
      <w:r>
        <w:t xml:space="preserve">Das Pflichtenheft konkretisiert die technische und organisatorische Umsetzung, die Prüfverfahren und die Abnahmekriterien aus Sicht des Auftragnehmers.</w:t>
      </w:r>
    </w:p>
    <w:p>
      <w:pPr>
        <w:pStyle w:val="ListBullet"/>
        <w:numPr>
          <w:ilvl w:val="0"/>
          <w:numId w:val="1"/>
        </w:numPr>
      </w:pPr>
      <w:r>
        <w:t xml:space="preserve">Der öffentliche Webauftritt wird in den Sprachen Deutsch und Englisch umgesetzt.</w:t>
      </w:r>
    </w:p>
    <w:p>
      <w:pPr>
        <w:pStyle w:val="ListBullet"/>
        <w:numPr>
          <w:ilvl w:val="0"/>
          <w:numId w:val="1"/>
        </w:numPr>
      </w:pPr>
      <w:r>
        <w:t xml:space="preserve">Da das Lastenheft keine F-Nummern enthält, werden die Anforderungen für die Nachverfolgbarkeit wie folgt referenziert: F-01 CMS, F-02 Zweisprachigkeit, F-03 Produktkatalog, F-04 Filter, F-05 Karriereseite, F-06 Bewerbungsformular, F-07 Barrierefreiheit und F-08 SEO-Migration.</w:t>
      </w:r>
    </w:p>
    <w:p>
      <w:pPr>
        <w:pStyle w:val="ListBullet"/>
        <w:numPr>
          <w:ilvl w:val="0"/>
          <w:numId w:val="1"/>
        </w:numPr>
      </w:pPr>
      <w:r>
        <w:t xml:space="preserve">Für die Projektplanung wird eine bestehende Website mit übernehmbaren Seiten, Produktdaten und URLs angenommen.</w:t>
      </w:r>
    </w:p>
    <w:p>
      <w:pPr>
        <w:pStyle w:val="Heading1"/>
      </w:pPr>
      <w:r>
        <w:t xml:space="preserve">2. Lösungsüberblick und Systemarchitektur</w:t>
      </w:r>
    </w:p>
    <w:p>
      <w:pPr>
        <w:pStyle w:val="Normal"/>
      </w:pPr>
      <w:r>
        <w:t xml:space="preserve">Wir setzen eine zentral administrierbare CMS-Anwendung mit getrennten Inhaltsbereichen für Deutsch und Englisch sowie einer öffentlichen, responsiven Weboberfläche um.</w:t>
      </w:r>
    </w:p>
    <w:p>
      <w:pPr>
        <w:pStyle w:val="Normal"/>
      </w:pPr>
      <w:r>
        <w:t xml:space="preserve">Die Lösung besteht aus Präsentationsschicht, CMS-Anwendung, relationaler Datenbank und einem geschützten Medien- und Dokumentenspeicher.</w:t>
      </w:r>
    </w:p>
    <w:p>
      <w:pPr>
        <w:pStyle w:val="ListBullet"/>
        <w:numPr>
          <w:ilvl w:val="0"/>
          <w:numId w:val="1"/>
        </w:numPr>
      </w:pPr>
      <w:r>
        <w:t xml:space="preserve">Für die Kalkulation wird ein etabliertes, selbst gehostetes CMS mit Langzeitpflege angenommen, beispielsweise TYPO3 LTS (Annahme).</w:t>
      </w:r>
    </w:p>
    <w:p>
      <w:pPr>
        <w:pStyle w:val="ListBullet"/>
        <w:numPr>
          <w:ilvl w:val="0"/>
          <w:numId w:val="1"/>
        </w:numPr>
      </w:pPr>
      <w:r>
        <w:t xml:space="preserve">Redaktionelle Inhalte, Produkte, Produktmerkmale, Stellenanzeigen, Medien und Dokumente werden als strukturierte Inhaltstypen modelliert.</w:t>
      </w:r>
    </w:p>
    <w:p>
      <w:pPr>
        <w:pStyle w:val="ListBullet"/>
        <w:numPr>
          <w:ilvl w:val="0"/>
          <w:numId w:val="1"/>
        </w:numPr>
      </w:pPr>
      <w:r>
        <w:t xml:space="preserve">Das Hosting der Produktivumgebung einschließlich Datenbank erfolgt in einem Rechenzentrum in Deutschland.</w:t>
      </w:r>
    </w:p>
    <w:p>
      <w:pPr>
        <w:pStyle w:val="ListBullet"/>
        <w:numPr>
          <w:ilvl w:val="0"/>
          <w:numId w:val="1"/>
        </w:numPr>
      </w:pPr>
      <w:r>
        <w:t xml:space="preserve">Administrationszugriffe erfolgen über HTTPS und ein rollenbasiertes Berechtigungskonzept.</w:t>
      </w:r>
    </w:p>
    <w:p>
      <w:pPr>
        <w:pStyle w:val="ListBullet"/>
        <w:numPr>
          <w:ilvl w:val="0"/>
          <w:numId w:val="1"/>
        </w:numPr>
      </w:pPr>
      <w:r>
        <w:t xml:space="preserve">Die Architektur wird so ausgelegt, dass Inhalte, Produktdaten und Übersetzungen ohne Programmierkenntnisse gepflegt werden können.</w:t>
      </w:r>
    </w:p>
    <w:p>
      <w:pPr>
        <w:pStyle w:val="Heading1"/>
      </w:pPr>
      <w:r>
        <w:t xml:space="preserve">3. Umsetzung der funktionalen Anforderungen</w:t>
      </w:r>
    </w:p>
    <w:p>
      <w:pPr>
        <w:pStyle w:val="Normal"/>
      </w:pPr>
      <w:r>
        <w:t xml:space="preserve">Die nachfolgenden Anforderungen beschreiben die konkrete Umsetzung der im Lastenheft genannten Funktionen. Jede Anforderung erhält ein prüfbares Abnahmekriterium.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803"/>
        <w:gridCol w:w="4016"/>
        <w:gridCol w:w="964"/>
        <w:gridCol w:w="1124"/>
        <w:gridCol w:w="2731"/>
      </w:tblGrid>
      <w:tr>
        <w:trPr>
          <w:tblHeader/>
        </w:trPr>
        <w:tc>
          <w:tcPr>
            <w:tcW w:w="803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ID</w:t>
            </w:r>
          </w:p>
        </w:tc>
        <w:tc>
          <w:tcPr>
            <w:tcW w:w="4016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Anforderung</w:t>
            </w:r>
          </w:p>
        </w:tc>
        <w:tc>
          <w:tcPr>
            <w:tcW w:w="964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Bezug</w:t>
            </w:r>
          </w:p>
        </w:tc>
        <w:tc>
          <w:tcPr>
            <w:tcW w:w="1124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Priorität</w:t>
            </w:r>
          </w:p>
        </w:tc>
        <w:tc>
          <w:tcPr>
            <w:tcW w:w="2731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Abnahmekriterium</w:t>
            </w: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P-01</w:t>
            </w:r>
          </w:p>
        </w:tc>
        <w:tc>
          <w:tcPr>
            <w:tcW w:w="4016" w:type="dxa"/>
          </w:tcPr>
          <w:p>
            <w:pPr>
              <w:spacing w:before="40" w:after="40"/>
            </w:pPr>
            <w:r>
              <w:rPr>
                <w:b/>
              </w:rPr>
              <w:t xml:space="preserve">CMS-Grundfunktion</w:t>
            </w:r>
            <w:r>
              <w:t xml:space="preserve"> — Wir implementieren ein neues CMS für Seiten, Navigation, Medien, Dokumente und strukturierte Datensätze. Für die Kalkulation wird TYPO3 LTS oder ein technisch gleichwertiges CMS angenommen (Annahme).</w:t>
            </w:r>
          </w:p>
        </w:tc>
        <w:tc>
          <w:tcPr>
            <w:tcW w:w="964" w:type="dxa"/>
          </w:tcPr>
          <w:p>
            <w:pPr>
              <w:spacing w:before="40" w:after="40"/>
            </w:pPr>
            <w:r>
              <w:t xml:space="preserve">F-01</w:t>
            </w:r>
          </w:p>
        </w:tc>
        <w:tc>
          <w:tcPr>
            <w:tcW w:w="1124" w:type="dxa"/>
          </w:tcPr>
          <w:p>
            <w:pPr>
              <w:spacing w:before="40" w:after="40"/>
            </w:pPr>
            <w:r>
              <w:t xml:space="preserve">MUSS</w:t>
            </w:r>
          </w:p>
        </w:tc>
        <w:tc>
          <w:tcPr>
            <w:tcW w:w="2731" w:type="dxa"/>
          </w:tcPr>
          <w:p>
            <w:pPr>
              <w:spacing w:before="40" w:after="40"/>
            </w:pPr>
            <w:r>
              <w:t xml:space="preserve">Ein berechtigter Redakteur legt eine Seite an, bearbeitet sie, speichert einen Entwurf, veröffentlicht sie und nimmt eine veröffentlichte Änderung wieder zurück. Alle Vorgänge werden ohne Quellcodeänderung durchgeführt.</w:t>
            </w: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P-02</w:t>
            </w:r>
          </w:p>
        </w:tc>
        <w:tc>
          <w:tcPr>
            <w:tcW w:w="4016" w:type="dxa"/>
          </w:tcPr>
          <w:p>
            <w:pPr>
              <w:spacing w:before="40" w:after="40"/>
            </w:pPr>
            <w:r>
              <w:rPr>
                <w:b/>
              </w:rPr>
              <w:t xml:space="preserve">Redaktionsrechte und Veröffentlichungsprozess</w:t>
            </w:r>
            <w:r>
              <w:t xml:space="preserve"> — Wir konfigurieren Rollen für mindestens Administration, Redaktion und Freigabe (Annahme). Inhalte können vor der Veröffentlichung gespeichert und geprüft werden.</w:t>
            </w:r>
          </w:p>
        </w:tc>
        <w:tc>
          <w:tcPr>
            <w:tcW w:w="964" w:type="dxa"/>
          </w:tcPr>
          <w:p>
            <w:pPr>
              <w:spacing w:before="40" w:after="40"/>
            </w:pPr>
            <w:r>
              <w:t xml:space="preserve">F-01</w:t>
            </w:r>
          </w:p>
        </w:tc>
        <w:tc>
          <w:tcPr>
            <w:tcW w:w="1124" w:type="dxa"/>
          </w:tcPr>
          <w:p>
            <w:pPr>
              <w:spacing w:before="40" w:after="40"/>
            </w:pPr>
            <w:r>
              <w:t xml:space="preserve">SOLL</w:t>
            </w:r>
          </w:p>
        </w:tc>
        <w:tc>
          <w:tcPr>
            <w:tcW w:w="2731" w:type="dxa"/>
          </w:tcPr>
          <w:p>
            <w:pPr>
              <w:spacing w:before="40" w:after="40"/>
            </w:pPr>
            <w:r>
              <w:t xml:space="preserve">Ein Redakteur kann Inhalte bearbeiten, aber keine Systemkonfiguration ändern. Ein Benutzer mit Freigaberecht kann den Entwurf veröffentlichen; ein Test mit jeweils einem Benutzer pro Rolle ist erfolgreich.</w:t>
            </w: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P-03</w:t>
            </w:r>
          </w:p>
        </w:tc>
        <w:tc>
          <w:tcPr>
            <w:tcW w:w="4016" w:type="dxa"/>
          </w:tcPr>
          <w:p>
            <w:pPr>
              <w:spacing w:before="40" w:after="40"/>
            </w:pPr>
            <w:r>
              <w:rPr>
                <w:b/>
              </w:rPr>
              <w:t xml:space="preserve">Deutsch-englische Inhaltsstruktur</w:t>
            </w:r>
            <w:r>
              <w:t xml:space="preserve"> — Wir richten eine konsistente Sprachstruktur für Deutsch und Englisch ein. Sprachwechsel, sprachabhängige Navigation und der Status fehlender Übersetzungen werden im CMS abgebildet.</w:t>
            </w:r>
          </w:p>
        </w:tc>
        <w:tc>
          <w:tcPr>
            <w:tcW w:w="964" w:type="dxa"/>
          </w:tcPr>
          <w:p>
            <w:pPr>
              <w:spacing w:before="40" w:after="40"/>
            </w:pPr>
            <w:r>
              <w:t xml:space="preserve">F-02</w:t>
            </w:r>
          </w:p>
        </w:tc>
        <w:tc>
          <w:tcPr>
            <w:tcW w:w="1124" w:type="dxa"/>
          </w:tcPr>
          <w:p>
            <w:pPr>
              <w:spacing w:before="40" w:after="40"/>
            </w:pPr>
            <w:r>
              <w:t xml:space="preserve">MUSS</w:t>
            </w:r>
          </w:p>
        </w:tc>
        <w:tc>
          <w:tcPr>
            <w:tcW w:w="2731" w:type="dxa"/>
          </w:tcPr>
          <w:p>
            <w:pPr>
              <w:spacing w:before="40" w:after="40"/>
            </w:pPr>
            <w:r>
              <w:t xml:space="preserve">Für einen Testbereich werden deutsche und englische Seiten angelegt. Der Sprachwechsel führt jeweils zur korrespondierenden Seite; nicht übersetzte Inhalte werden nicht als vollständig übersetzt dargestellt.</w:t>
            </w: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P-04</w:t>
            </w:r>
          </w:p>
        </w:tc>
        <w:tc>
          <w:tcPr>
            <w:tcW w:w="4016" w:type="dxa"/>
          </w:tcPr>
          <w:p>
            <w:pPr>
              <w:spacing w:before="40" w:after="40"/>
            </w:pPr>
            <w:r>
              <w:rPr>
                <w:b/>
              </w:rPr>
              <w:t xml:space="preserve">Strukturierter Produktkatalog</w:t>
            </w:r>
            <w:r>
              <w:t xml:space="preserve"> — Wir modellieren Produkte mit Produktname, Kurz- und Langbeschreibung, Produktnummer, Kategorien, technischen Merkmalen und Medien. Die konkreten Attribute werden in der Konzeptionsphase mit dem Auftraggeber festgelegt.</w:t>
            </w:r>
          </w:p>
        </w:tc>
        <w:tc>
          <w:tcPr>
            <w:tcW w:w="964" w:type="dxa"/>
          </w:tcPr>
          <w:p>
            <w:pPr>
              <w:spacing w:before="40" w:after="40"/>
            </w:pPr>
            <w:r>
              <w:t xml:space="preserve">F-03</w:t>
            </w:r>
          </w:p>
        </w:tc>
        <w:tc>
          <w:tcPr>
            <w:tcW w:w="1124" w:type="dxa"/>
          </w:tcPr>
          <w:p>
            <w:pPr>
              <w:spacing w:before="40" w:after="40"/>
            </w:pPr>
            <w:r>
              <w:t xml:space="preserve">MUSS</w:t>
            </w:r>
          </w:p>
        </w:tc>
        <w:tc>
          <w:tcPr>
            <w:tcW w:w="2731" w:type="dxa"/>
          </w:tcPr>
          <w:p>
            <w:pPr>
              <w:spacing w:before="40" w:after="40"/>
            </w:pPr>
            <w:r>
              <w:t xml:space="preserve">Ein Testprodukt wird im CMS angelegt, gespeichert und veröffentlicht. Das Produkt erscheint im Katalog und auf einer eigenen Detailseite einschließlich der gepflegten Merkmale.</w:t>
            </w: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P-05</w:t>
            </w:r>
          </w:p>
        </w:tc>
        <w:tc>
          <w:tcPr>
            <w:tcW w:w="4016" w:type="dxa"/>
          </w:tcPr>
          <w:p>
            <w:pPr>
              <w:spacing w:before="40" w:after="40"/>
            </w:pPr>
            <w:r>
              <w:rPr>
                <w:b/>
              </w:rPr>
              <w:t xml:space="preserve">Produktfilter</w:t>
            </w:r>
            <w:r>
              <w:t xml:space="preserve"> — Wir implementieren kombinierbare Filter auf Basis der Produktkategorien und technischen Merkmale. Filterwerte werden aus den strukturierten Produktdaten erzeugt und können im CMS gepflegt werden.</w:t>
            </w:r>
          </w:p>
        </w:tc>
        <w:tc>
          <w:tcPr>
            <w:tcW w:w="964" w:type="dxa"/>
          </w:tcPr>
          <w:p>
            <w:pPr>
              <w:spacing w:before="40" w:after="40"/>
            </w:pPr>
            <w:r>
              <w:t xml:space="preserve">F-04</w:t>
            </w:r>
          </w:p>
        </w:tc>
        <w:tc>
          <w:tcPr>
            <w:tcW w:w="1124" w:type="dxa"/>
          </w:tcPr>
          <w:p>
            <w:pPr>
              <w:spacing w:before="40" w:after="40"/>
            </w:pPr>
            <w:r>
              <w:t xml:space="preserve">MUSS</w:t>
            </w:r>
          </w:p>
        </w:tc>
        <w:tc>
          <w:tcPr>
            <w:tcW w:w="2731" w:type="dxa"/>
          </w:tcPr>
          <w:p>
            <w:pPr>
              <w:spacing w:before="40" w:after="40"/>
            </w:pPr>
            <w:r>
              <w:t xml:space="preserve">Mit einem abgestimmten Testdatensatz werden ein einzelner Filter, mehrere kombinierte Filter und das Zurücksetzen aller Filter ausgeführt. Es werden ausschließlich Produkte angezeigt, die alle ausgewählten Kriterien erfüllen.</w:t>
            </w: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P-06</w:t>
            </w:r>
          </w:p>
        </w:tc>
        <w:tc>
          <w:tcPr>
            <w:tcW w:w="4016" w:type="dxa"/>
          </w:tcPr>
          <w:p>
            <w:pPr>
              <w:spacing w:before="40" w:after="40"/>
            </w:pPr>
            <w:r>
              <w:rPr>
                <w:b/>
              </w:rPr>
              <w:t xml:space="preserve">Produktdetailseiten</w:t>
            </w:r>
            <w:r>
              <w:t xml:space="preserve"> — Wir erstellen indexierbare Produktdetailseiten mit sprechenden URLs, strukturierten Merkmalen und einer konfigurierbaren Medien- beziehungsweise Dokumentendarstellung. Die Einbindung von PDF-Dokumenten wird als Bestandteil angenommen (Annahme).</w:t>
            </w:r>
          </w:p>
        </w:tc>
        <w:tc>
          <w:tcPr>
            <w:tcW w:w="964" w:type="dxa"/>
          </w:tcPr>
          <w:p>
            <w:pPr>
              <w:spacing w:before="40" w:after="40"/>
            </w:pPr>
            <w:r>
              <w:t xml:space="preserve">F-03</w:t>
            </w:r>
          </w:p>
        </w:tc>
        <w:tc>
          <w:tcPr>
            <w:tcW w:w="1124" w:type="dxa"/>
          </w:tcPr>
          <w:p>
            <w:pPr>
              <w:spacing w:before="40" w:after="40"/>
            </w:pPr>
            <w:r>
              <w:t xml:space="preserve">MUSS</w:t>
            </w:r>
          </w:p>
        </w:tc>
        <w:tc>
          <w:tcPr>
            <w:tcW w:w="2731" w:type="dxa"/>
          </w:tcPr>
          <w:p>
            <w:pPr>
              <w:spacing w:before="40" w:after="40"/>
            </w:pPr>
            <w:r>
              <w:t xml:space="preserve">Eine veröffentlichte Produktdetailseite ist direkt über ihre URL erreichbar, enthält die im CMS gepflegten Daten und ermöglicht das Öffnen oder Herunterladen eines hinterlegten Dokuments.</w:t>
            </w: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P-07</w:t>
            </w:r>
          </w:p>
        </w:tc>
        <w:tc>
          <w:tcPr>
            <w:tcW w:w="4016" w:type="dxa"/>
          </w:tcPr>
          <w:p>
            <w:pPr>
              <w:spacing w:before="40" w:after="40"/>
            </w:pPr>
            <w:r>
              <w:rPr>
                <w:b/>
              </w:rPr>
              <w:t xml:space="preserve">Karriereseite und Stellenangebote</w:t>
            </w:r>
            <w:r>
              <w:t xml:space="preserve"> — Wir setzen eine Karriereseite mit Übersichtsseite, Stellenlisten und einzelnen Stellenanzeigen um. Stellenanzeigen werden als strukturierte Inhalte mit Titel, Standort, Beschreibung und Bewerbungsoption gepflegt.</w:t>
            </w:r>
          </w:p>
        </w:tc>
        <w:tc>
          <w:tcPr>
            <w:tcW w:w="964" w:type="dxa"/>
          </w:tcPr>
          <w:p>
            <w:pPr>
              <w:spacing w:before="40" w:after="40"/>
            </w:pPr>
            <w:r>
              <w:t xml:space="preserve">F-05</w:t>
            </w:r>
          </w:p>
        </w:tc>
        <w:tc>
          <w:tcPr>
            <w:tcW w:w="1124" w:type="dxa"/>
          </w:tcPr>
          <w:p>
            <w:pPr>
              <w:spacing w:before="40" w:after="40"/>
            </w:pPr>
            <w:r>
              <w:t xml:space="preserve">MUSS</w:t>
            </w:r>
          </w:p>
        </w:tc>
        <w:tc>
          <w:tcPr>
            <w:tcW w:w="2731" w:type="dxa"/>
          </w:tcPr>
          <w:p>
            <w:pPr>
              <w:spacing w:before="40" w:after="40"/>
            </w:pPr>
            <w:r>
              <w:t xml:space="preserve">Eine Teststelle wird angelegt, veröffentlicht und auf der Übersichtsseite angezeigt. Die Detailseite enthält die gepflegten Daten und verlinkt das Bewerbungsformular.</w:t>
            </w: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P-08</w:t>
            </w:r>
          </w:p>
        </w:tc>
        <w:tc>
          <w:tcPr>
            <w:tcW w:w="4016" w:type="dxa"/>
          </w:tcPr>
          <w:p>
            <w:pPr>
              <w:spacing w:before="40" w:after="40"/>
            </w:pPr>
            <w:r>
              <w:rPr>
                <w:b/>
              </w:rPr>
              <w:t xml:space="preserve">Bewerbungsformular</w:t>
            </w:r>
            <w:r>
              <w:t xml:space="preserve"> — Wir implementieren ein konfigurierbares Bewerbungsformular mit Pflichtfeldprüfung, Einwilligung zur Datenverarbeitung und Upload von Bewerbungsunterlagen. PDF- und DOCX-Dateien bis 10 MB je Datei werden als Ausgangswert angenommen (Annahme).</w:t>
            </w:r>
          </w:p>
        </w:tc>
        <w:tc>
          <w:tcPr>
            <w:tcW w:w="964" w:type="dxa"/>
          </w:tcPr>
          <w:p>
            <w:pPr>
              <w:spacing w:before="40" w:after="40"/>
            </w:pPr>
            <w:r>
              <w:t xml:space="preserve">F-06</w:t>
            </w:r>
          </w:p>
        </w:tc>
        <w:tc>
          <w:tcPr>
            <w:tcW w:w="1124" w:type="dxa"/>
          </w:tcPr>
          <w:p>
            <w:pPr>
              <w:spacing w:before="40" w:after="40"/>
            </w:pPr>
            <w:r>
              <w:t xml:space="preserve">MUSS</w:t>
            </w:r>
          </w:p>
        </w:tc>
        <w:tc>
          <w:tcPr>
            <w:tcW w:w="2731" w:type="dxa"/>
          </w:tcPr>
          <w:p>
            <w:pPr>
              <w:spacing w:before="40" w:after="40"/>
            </w:pPr>
            <w:r>
              <w:t xml:space="preserve">Das Formular wird mit gültigen und ungültigen Eingaben getestet. Pflichtfelder, E-Mail-Adresse, Einwilligung und Dateiformate werden geprüft; eine gültige Bewerbung kann erfolgreich übermittelt werden.</w:t>
            </w: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P-09</w:t>
            </w:r>
          </w:p>
        </w:tc>
        <w:tc>
          <w:tcPr>
            <w:tcW w:w="4016" w:type="dxa"/>
          </w:tcPr>
          <w:p>
            <w:pPr>
              <w:spacing w:before="40" w:after="40"/>
            </w:pPr>
            <w:r>
              <w:rPr>
                <w:b/>
              </w:rPr>
              <w:t xml:space="preserve">Bewerbungsbestätigung und Versand</w:t>
            </w:r>
            <w:r>
              <w:t xml:space="preserve"> — Wir versenden Bewerbungen verschlüsselt über einen vom Auftraggeber bereitgestellten SMTP-Dienst und zeigen nach erfolgreicher Übermittlung eine Bestätigung an. Eine direkte Anbindung an ein Bewerbermanagementsystem ist im Basisumfang nicht enthalten (Annahme).</w:t>
            </w:r>
          </w:p>
        </w:tc>
        <w:tc>
          <w:tcPr>
            <w:tcW w:w="964" w:type="dxa"/>
          </w:tcPr>
          <w:p>
            <w:pPr>
              <w:spacing w:before="40" w:after="40"/>
            </w:pPr>
            <w:r>
              <w:t xml:space="preserve">F-06</w:t>
            </w:r>
          </w:p>
        </w:tc>
        <w:tc>
          <w:tcPr>
            <w:tcW w:w="1124" w:type="dxa"/>
          </w:tcPr>
          <w:p>
            <w:pPr>
              <w:spacing w:before="40" w:after="40"/>
            </w:pPr>
            <w:r>
              <w:t xml:space="preserve">SOLL</w:t>
            </w:r>
          </w:p>
        </w:tc>
        <w:tc>
          <w:tcPr>
            <w:tcW w:w="2731" w:type="dxa"/>
          </w:tcPr>
          <w:p>
            <w:pPr>
              <w:spacing w:before="40" w:after="40"/>
            </w:pPr>
            <w:r>
              <w:t xml:space="preserve">Eine Testbewerbung erzeugt genau eine Zustellnachricht an das vereinbarte Empfängerpostfach und eine Bestätigungsseite. Bei einem nicht erreichbaren Versanddienst wird eine Fehlermeldung angezeigt und die Bewerbung nicht als erfolgreich übermittelt dargestellt.</w:t>
            </w: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P-10</w:t>
            </w:r>
          </w:p>
        </w:tc>
        <w:tc>
          <w:tcPr>
            <w:tcW w:w="4016" w:type="dxa"/>
          </w:tcPr>
          <w:p>
            <w:pPr>
              <w:spacing w:before="40" w:after="40"/>
            </w:pPr>
            <w:r>
              <w:rPr>
                <w:b/>
              </w:rPr>
              <w:t xml:space="preserve">Barrierefreie Umsetzung</w:t>
            </w:r>
            <w:r>
              <w:t xml:space="preserve"> — Wir entwickeln die Seiten, Navigation, Formulare, Filter und Medienbedienelemente nach WCAG 2.1 auf Konformitätsstufe AA. Die Umsetzung umfasst Tastaturbedienung, sichtbare Fokuszustände, semantische HTML-Strukturen, Alternativtexte und ausreichende Kontraste.</w:t>
            </w:r>
          </w:p>
        </w:tc>
        <w:tc>
          <w:tcPr>
            <w:tcW w:w="964" w:type="dxa"/>
          </w:tcPr>
          <w:p>
            <w:pPr>
              <w:spacing w:before="40" w:after="40"/>
            </w:pPr>
            <w:r>
              <w:t xml:space="preserve">F-07</w:t>
            </w:r>
          </w:p>
        </w:tc>
        <w:tc>
          <w:tcPr>
            <w:tcW w:w="1124" w:type="dxa"/>
          </w:tcPr>
          <w:p>
            <w:pPr>
              <w:spacing w:before="40" w:after="40"/>
            </w:pPr>
            <w:r>
              <w:t xml:space="preserve">MUSS</w:t>
            </w:r>
          </w:p>
        </w:tc>
        <w:tc>
          <w:tcPr>
            <w:tcW w:w="2731" w:type="dxa"/>
          </w:tcPr>
          <w:p>
            <w:pPr>
              <w:spacing w:before="40" w:after="40"/>
            </w:pPr>
            <w:r>
              <w:t xml:space="preserve">Ein manueller Tastaturtest, ein automatisierter Accessibility-Scan und eine stichprobenartige Prüfung mit Screenreader werden durchgeführt. Für die abgenommenen Kernseiten bestehen keine bekannten kritischen oder wesentlichen WCAG-2.1-AA-Verstöße.</w:t>
            </w: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P-11</w:t>
            </w:r>
          </w:p>
        </w:tc>
        <w:tc>
          <w:tcPr>
            <w:tcW w:w="4016" w:type="dxa"/>
          </w:tcPr>
          <w:p>
            <w:pPr>
              <w:spacing w:before="40" w:after="40"/>
            </w:pPr>
            <w:r>
              <w:rPr>
                <w:b/>
              </w:rPr>
              <w:t xml:space="preserve">SEO-Weiterleitungen</w:t>
            </w:r>
            <w:r>
              <w:t xml:space="preserve"> — Wir erstellen aus dem URL-Inventar der bestehenden Website eine Weiterleitungsmatrix und richten dauerhafte HTTP-301-Weiterleitungen auf die neuen Zieladressen ein. Nicht mehr vorhandene Inhalte erhalten eine fachlich abgestimmte Zielseite oder einen korrekten HTTP-404-Status.</w:t>
            </w:r>
          </w:p>
        </w:tc>
        <w:tc>
          <w:tcPr>
            <w:tcW w:w="964" w:type="dxa"/>
          </w:tcPr>
          <w:p>
            <w:pPr>
              <w:spacing w:before="40" w:after="40"/>
            </w:pPr>
            <w:r>
              <w:t xml:space="preserve">F-08</w:t>
            </w:r>
          </w:p>
        </w:tc>
        <w:tc>
          <w:tcPr>
            <w:tcW w:w="1124" w:type="dxa"/>
          </w:tcPr>
          <w:p>
            <w:pPr>
              <w:spacing w:before="40" w:after="40"/>
            </w:pPr>
            <w:r>
              <w:t xml:space="preserve">MUSS</w:t>
            </w:r>
          </w:p>
        </w:tc>
        <w:tc>
          <w:tcPr>
            <w:tcW w:w="2731" w:type="dxa"/>
          </w:tcPr>
          <w:p>
            <w:pPr>
              <w:spacing w:before="40" w:after="40"/>
            </w:pPr>
            <w:r>
              <w:t xml:space="preserve">Mindestens alle URLs aus dem freigegebenen URL-Inventar werden automatisiert geprüft. Jede URL liefert entweder die vereinbarte Zielseite mit HTTP 301 oder den vereinbarten Statuscode; Weiterleitungsketten werden vermieden.</w:t>
            </w: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P-12</w:t>
            </w:r>
          </w:p>
        </w:tc>
        <w:tc>
          <w:tcPr>
            <w:tcW w:w="4016" w:type="dxa"/>
          </w:tcPr>
          <w:p>
            <w:pPr>
              <w:spacing w:before="40" w:after="40"/>
            </w:pPr>
            <w:r>
              <w:rPr>
                <w:b/>
              </w:rPr>
              <w:t xml:space="preserve">SEO-Metadaten und Suchmaschinensteuerung</w:t>
            </w:r>
            <w:r>
              <w:t xml:space="preserve"> — Wir übernehmen oder migrieren Seitentitel und Beschreibungen, erzeugen XML-Sitemaps und pflegen Canonical- sowie hreflang-Referenzen für Deutsch und Englisch. Robots.txt und Indexierungsregeln werden für Produktiv- und Testumgebung getrennt konfiguriert.</w:t>
            </w:r>
          </w:p>
        </w:tc>
        <w:tc>
          <w:tcPr>
            <w:tcW w:w="964" w:type="dxa"/>
          </w:tcPr>
          <w:p>
            <w:pPr>
              <w:spacing w:before="40" w:after="40"/>
            </w:pPr>
            <w:r>
              <w:t xml:space="preserve">F-08</w:t>
            </w:r>
          </w:p>
        </w:tc>
        <w:tc>
          <w:tcPr>
            <w:tcW w:w="1124" w:type="dxa"/>
          </w:tcPr>
          <w:p>
            <w:pPr>
              <w:spacing w:before="40" w:after="40"/>
            </w:pPr>
            <w:r>
              <w:t xml:space="preserve">MUSS</w:t>
            </w:r>
          </w:p>
        </w:tc>
        <w:tc>
          <w:tcPr>
            <w:tcW w:w="2731" w:type="dxa"/>
          </w:tcPr>
          <w:p>
            <w:pPr>
              <w:spacing w:before="40" w:after="40"/>
            </w:pPr>
            <w:r>
              <w:t xml:space="preserve">Für einen abgestimmten Seitensatz werden Metadaten, Canonical-Links, hreflang-Links, XML-Sitemap und Robots-Regeln geprüft. Die Testumgebung verhindert die Indexierung, während die Produktivumgebung die freigegebenen URLs ausliefert.</w:t>
            </w:r>
          </w:p>
        </w:tc>
      </w:tr>
    </w:tbl>
    <w:p/>
    <w:p>
      <w:pPr>
        <w:pStyle w:val="Heading1"/>
      </w:pPr>
      <w:r>
        <w:t xml:space="preserve">4. Umsetzung der nicht-funktionalen Anforderungen</w:t>
      </w:r>
    </w:p>
    <w:p>
      <w:pPr>
        <w:pStyle w:val="Normal"/>
      </w:pPr>
      <w:r>
        <w:t xml:space="preserve">Die nicht-funktionalen Anforderungen werden durch technische Architektur, Konfiguration, Monitoring und dokumentierte Betriebsprozesse umgesetzt. Die Zielwerte sind als Planungswerte definiert und werden vor Projektstart mit dem Auftraggeber bestätigt.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803"/>
        <w:gridCol w:w="4016"/>
        <w:gridCol w:w="964"/>
        <w:gridCol w:w="1124"/>
        <w:gridCol w:w="2731"/>
      </w:tblGrid>
      <w:tr>
        <w:trPr>
          <w:tblHeader/>
        </w:trPr>
        <w:tc>
          <w:tcPr>
            <w:tcW w:w="803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ID</w:t>
            </w:r>
          </w:p>
        </w:tc>
        <w:tc>
          <w:tcPr>
            <w:tcW w:w="4016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Anforderung</w:t>
            </w:r>
          </w:p>
        </w:tc>
        <w:tc>
          <w:tcPr>
            <w:tcW w:w="964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Bezug</w:t>
            </w:r>
          </w:p>
        </w:tc>
        <w:tc>
          <w:tcPr>
            <w:tcW w:w="1124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Priorität</w:t>
            </w:r>
          </w:p>
        </w:tc>
        <w:tc>
          <w:tcPr>
            <w:tcW w:w="2731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Abnahmekriterium</w:t>
            </w: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Q-01</w:t>
            </w:r>
          </w:p>
        </w:tc>
        <w:tc>
          <w:tcPr>
            <w:tcW w:w="4016" w:type="dxa"/>
          </w:tcPr>
          <w:p>
            <w:pPr>
              <w:spacing w:before="40" w:after="40"/>
            </w:pPr>
            <w:r>
              <w:rPr>
                <w:b/>
              </w:rPr>
              <w:t xml:space="preserve">Performance</w:t>
            </w:r>
            <w:r>
              <w:t xml:space="preserve"> — Die öffentlichen Kernseiten werden für eine gute Ladeleistung optimiert. Als Zielwert werden bei 100 parallelen Anfragen ein p95-LCP von höchstens 2,5 Sekunden und eine p95-Serverantwortzeit von höchstens 800 Millisekunden angenommen (Annahme).</w:t>
            </w:r>
          </w:p>
        </w:tc>
        <w:tc>
          <w:tcPr>
            <w:tcW w:w="964" w:type="dxa"/>
          </w:tcPr>
          <w:p>
            <w:pPr>
              <w:spacing w:before="40" w:after="40"/>
            </w:pPr>
            <w:r>
              <w:t xml:space="preserve">NF-01</w:t>
            </w:r>
          </w:p>
        </w:tc>
        <w:tc>
          <w:tcPr>
            <w:tcW w:w="1124" w:type="dxa"/>
          </w:tcPr>
          <w:p>
            <w:pPr>
              <w:spacing w:before="40" w:after="40"/>
            </w:pPr>
            <w:r>
              <w:t xml:space="preserve">SOLL</w:t>
            </w:r>
          </w:p>
        </w:tc>
        <w:tc>
          <w:tcPr>
            <w:tcW w:w="2731" w:type="dxa"/>
          </w:tcPr>
          <w:p>
            <w:pPr>
              <w:spacing w:before="40" w:after="40"/>
            </w:pPr>
            <w:r>
              <w:t xml:space="preserve">Ein Lasttest mit produktionsnaher Datenmenge und mindestens 100 parallelen Anfragen wird in der Staging-Umgebung durchgeführt. Die definierten p95-Zielwerte werden auf Startseite, Produktübersicht, Produktdetailseite und Karriereseite eingehalten.</w:t>
            </w: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Q-02</w:t>
            </w:r>
          </w:p>
        </w:tc>
        <w:tc>
          <w:tcPr>
            <w:tcW w:w="4016" w:type="dxa"/>
          </w:tcPr>
          <w:p>
            <w:pPr>
              <w:spacing w:before="40" w:after="40"/>
            </w:pPr>
            <w:r>
              <w:rPr>
                <w:b/>
              </w:rPr>
              <w:t xml:space="preserve">Verfügbarkeit</w:t>
            </w:r>
            <w:r>
              <w:t xml:space="preserve"> — Für die Produktivumgebung wird eine monatliche Verfügbarkeit von 99,5 Prozent außerhalb angekündigter Wartungsfenster angenommen (Annahme).</w:t>
            </w:r>
          </w:p>
        </w:tc>
        <w:tc>
          <w:tcPr>
            <w:tcW w:w="964" w:type="dxa"/>
          </w:tcPr>
          <w:p>
            <w:pPr>
              <w:spacing w:before="40" w:after="40"/>
            </w:pPr>
            <w:r>
              <w:t xml:space="preserve">NF-02</w:t>
            </w:r>
          </w:p>
        </w:tc>
        <w:tc>
          <w:tcPr>
            <w:tcW w:w="1124" w:type="dxa"/>
          </w:tcPr>
          <w:p>
            <w:pPr>
              <w:spacing w:before="40" w:after="40"/>
            </w:pPr>
            <w:r>
              <w:t xml:space="preserve">SOLL</w:t>
            </w:r>
          </w:p>
        </w:tc>
        <w:tc>
          <w:tcPr>
            <w:tcW w:w="2731" w:type="dxa"/>
          </w:tcPr>
          <w:p>
            <w:pPr>
              <w:spacing w:before="40" w:after="40"/>
            </w:pPr>
            <w:r>
              <w:t xml:space="preserve">Die Verfügbarkeit wird über einen externen HTTP-Monitor und das Betriebsprotokoll über einen vollen Abrechnungsmonat nachgewiesen. Geplante Wartungsfenster werden separat dokumentiert.</w:t>
            </w: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Q-03</w:t>
            </w:r>
          </w:p>
        </w:tc>
        <w:tc>
          <w:tcPr>
            <w:tcW w:w="4016" w:type="dxa"/>
          </w:tcPr>
          <w:p>
            <w:pPr>
              <w:spacing w:before="40" w:after="40"/>
            </w:pPr>
            <w:r>
              <w:rPr>
                <w:b/>
              </w:rPr>
              <w:t xml:space="preserve">Sicherheit der Anwendung</w:t>
            </w:r>
            <w:r>
              <w:t xml:space="preserve"> — Wir erzwingen HTTPS, halten das CMS und seine Komponenten aktuell, begrenzen Administrationszugriffe und prüfen die Anwendung gegen die relevanten OWASP-Risiken. Für Administrationskonten wird Mehr-Faktor-Authentifizierung eingesetzt, sofern das ausgewählte CMS dies unterstützt.</w:t>
            </w:r>
          </w:p>
        </w:tc>
        <w:tc>
          <w:tcPr>
            <w:tcW w:w="964" w:type="dxa"/>
          </w:tcPr>
          <w:p>
            <w:pPr>
              <w:spacing w:before="40" w:after="40"/>
            </w:pPr>
            <w:r>
              <w:t xml:space="preserve">NF-03</w:t>
            </w:r>
          </w:p>
        </w:tc>
        <w:tc>
          <w:tcPr>
            <w:tcW w:w="1124" w:type="dxa"/>
          </w:tcPr>
          <w:p>
            <w:pPr>
              <w:spacing w:before="40" w:after="40"/>
            </w:pPr>
            <w:r>
              <w:t xml:space="preserve">MUSS</w:t>
            </w:r>
          </w:p>
        </w:tc>
        <w:tc>
          <w:tcPr>
            <w:tcW w:w="2731" w:type="dxa"/>
          </w:tcPr>
          <w:p>
            <w:pPr>
              <w:spacing w:before="40" w:after="40"/>
            </w:pPr>
            <w:r>
              <w:t xml:space="preserve">Ein TLS-, Schwachstellen- und Berechtigungstest wird durchgeführt. Es dürfen keine offenen kritischen oder hohen Schwachstellen sowie keine unberechtigten Zugriffe auf Administrations- oder Bewerbungsdaten vorhanden sein.</w:t>
            </w: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Q-04</w:t>
            </w:r>
          </w:p>
        </w:tc>
        <w:tc>
          <w:tcPr>
            <w:tcW w:w="4016" w:type="dxa"/>
          </w:tcPr>
          <w:p>
            <w:pPr>
              <w:spacing w:before="40" w:after="40"/>
            </w:pPr>
            <w:r>
              <w:rPr>
                <w:b/>
              </w:rPr>
              <w:t xml:space="preserve">Backup und Wiederherstellung</w:t>
            </w:r>
            <w:r>
              <w:t xml:space="preserve"> — Wir sichern Datenbank, Konfiguration und Medien automatisiert. Als Zielwerte werden ein RPO von 24 Stunden und ein RTO von 8 Stunden angenommen; Sicherungskopien werden ebenfalls in Deutschland gespeichert (Annahme).</w:t>
            </w:r>
          </w:p>
        </w:tc>
        <w:tc>
          <w:tcPr>
            <w:tcW w:w="964" w:type="dxa"/>
          </w:tcPr>
          <w:p>
            <w:pPr>
              <w:spacing w:before="40" w:after="40"/>
            </w:pPr>
            <w:r>
              <w:t xml:space="preserve">NF-04</w:t>
            </w:r>
          </w:p>
        </w:tc>
        <w:tc>
          <w:tcPr>
            <w:tcW w:w="1124" w:type="dxa"/>
          </w:tcPr>
          <w:p>
            <w:pPr>
              <w:spacing w:before="40" w:after="40"/>
            </w:pPr>
            <w:r>
              <w:t xml:space="preserve">MUSS</w:t>
            </w:r>
          </w:p>
        </w:tc>
        <w:tc>
          <w:tcPr>
            <w:tcW w:w="2731" w:type="dxa"/>
          </w:tcPr>
          <w:p>
            <w:pPr>
              <w:spacing w:before="40" w:after="40"/>
            </w:pPr>
            <w:r>
              <w:t xml:space="preserve">Vor der Abnahme wird eine Wiederherstellung in einer separaten Umgebung durchgeführt und dokumentiert. Die wiederhergestellte Anwendung enthält die zum Sicherungszeitpunkt vorhandenen Testdaten und ist innerhalb des Zielwerts verfügbar.</w:t>
            </w: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Q-05</w:t>
            </w:r>
          </w:p>
        </w:tc>
        <w:tc>
          <w:tcPr>
            <w:tcW w:w="4016" w:type="dxa"/>
          </w:tcPr>
          <w:p>
            <w:pPr>
              <w:spacing w:before="40" w:after="40"/>
            </w:pPr>
            <w:r>
              <w:rPr>
                <w:b/>
              </w:rPr>
              <w:t xml:space="preserve">Browser- und Gerätekompatibilität</w:t>
            </w:r>
            <w:r>
              <w:t xml:space="preserve"> — Die Website wird responsiv für Mobilgeräte, Tablets und Desktop-Bildschirme umgesetzt. Unterstützt werden die jeweils zwei letzten Hauptversionen von Chrome, Edge, Firefox und Safari (Annahme).</w:t>
            </w:r>
          </w:p>
        </w:tc>
        <w:tc>
          <w:tcPr>
            <w:tcW w:w="964" w:type="dxa"/>
          </w:tcPr>
          <w:p>
            <w:pPr>
              <w:spacing w:before="40" w:after="40"/>
            </w:pPr>
            <w:r>
              <w:t xml:space="preserve">NF-05</w:t>
            </w:r>
          </w:p>
        </w:tc>
        <w:tc>
          <w:tcPr>
            <w:tcW w:w="1124" w:type="dxa"/>
          </w:tcPr>
          <w:p>
            <w:pPr>
              <w:spacing w:before="40" w:after="40"/>
            </w:pPr>
            <w:r>
              <w:t xml:space="preserve">MUSS</w:t>
            </w:r>
          </w:p>
        </w:tc>
        <w:tc>
          <w:tcPr>
            <w:tcW w:w="2731" w:type="dxa"/>
          </w:tcPr>
          <w:p>
            <w:pPr>
              <w:spacing w:before="40" w:after="40"/>
            </w:pPr>
            <w:r>
              <w:t xml:space="preserve">Die definierten Kernseiten werden in den genannten Browsern und auf mindestens einem mobilen sowie einem Desktop-Testgerät geprüft. Navigation, Filter, Formulare, Medien und Sprachwechsel funktionieren ohne Blocker.</w:t>
            </w: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Q-06</w:t>
            </w:r>
          </w:p>
        </w:tc>
        <w:tc>
          <w:tcPr>
            <w:tcW w:w="4016" w:type="dxa"/>
          </w:tcPr>
          <w:p>
            <w:pPr>
              <w:spacing w:before="40" w:after="40"/>
            </w:pPr>
            <w:r>
              <w:rPr>
                <w:b/>
              </w:rPr>
              <w:t xml:space="preserve">Monitoring und Protokollierung</w:t>
            </w:r>
            <w:r>
              <w:t xml:space="preserve"> — Wir richten Überwachung für Erreichbarkeit, Fehlerzustände, Speicherplatz und Sicherungsläufe ein. Für kritische Ausfälle wird eine Alarmierung innerhalb von 15 Minuten als Betriebsziel angenommen (Annahme).</w:t>
            </w:r>
          </w:p>
        </w:tc>
        <w:tc>
          <w:tcPr>
            <w:tcW w:w="964" w:type="dxa"/>
          </w:tcPr>
          <w:p>
            <w:pPr>
              <w:spacing w:before="40" w:after="40"/>
            </w:pPr>
            <w:r>
              <w:t xml:space="preserve">NF-06</w:t>
            </w:r>
          </w:p>
        </w:tc>
        <w:tc>
          <w:tcPr>
            <w:tcW w:w="1124" w:type="dxa"/>
          </w:tcPr>
          <w:p>
            <w:pPr>
              <w:spacing w:before="40" w:after="40"/>
            </w:pPr>
            <w:r>
              <w:t xml:space="preserve">SOLL</w:t>
            </w:r>
          </w:p>
        </w:tc>
        <w:tc>
          <w:tcPr>
            <w:tcW w:w="2731" w:type="dxa"/>
          </w:tcPr>
          <w:p>
            <w:pPr>
              <w:spacing w:before="40" w:after="40"/>
            </w:pPr>
            <w:r>
              <w:t xml:space="preserve">Die Überwachung wird durch kontrollierte Testfehler ausgelöst. Alarm, Zuständigkeit, Zeitstempel und Bearbeitung werden im Betriebsprotokoll nachvollziehbar dokumentiert.</w:t>
            </w:r>
          </w:p>
        </w:tc>
      </w:tr>
    </w:tbl>
    <w:p/>
    <w:p>
      <w:pPr>
        <w:pStyle w:val="Heading1"/>
      </w:pPr>
      <w:r>
        <w:t xml:space="preserve">5. Schnittstellen und Migrationskonzept</w:t>
      </w:r>
    </w:p>
    <w:p>
      <w:pPr>
        <w:pStyle w:val="Normal"/>
      </w:pPr>
      <w:r>
        <w:t xml:space="preserve">Die Website wird über HTTPS aus dem deutschen Hosting-Standort ausgeliefert. Redaktion, Migration und Betrieb erfolgen über abgesicherte Administrations- und Betriebszugänge.</w:t>
      </w:r>
    </w:p>
    <w:p>
      <w:pPr>
        <w:pStyle w:val="Normal"/>
      </w:pPr>
      <w:r>
        <w:t xml:space="preserve">Die Migration wird zunächst in einer Staging-Umgebung durchgeführt und erst nach fachlicher Prüfung auf die Produktivumgebung übertragen.</w:t>
      </w:r>
    </w:p>
    <w:p>
      <w:pPr>
        <w:pStyle w:val="ListBullet"/>
        <w:numPr>
          <w:ilvl w:val="0"/>
          <w:numId w:val="1"/>
        </w:numPr>
      </w:pPr>
      <w:r>
        <w:t xml:space="preserve">Technische Clientschnittstelle ist ein aktueller Webbrowser für öffentliche Nutzung und Redaktion.</w:t>
      </w:r>
    </w:p>
    <w:p>
      <w:pPr>
        <w:pStyle w:val="ListBullet"/>
        <w:numPr>
          <w:ilvl w:val="0"/>
          <w:numId w:val="1"/>
        </w:numPr>
      </w:pPr>
      <w:r>
        <w:t xml:space="preserve">Das Bewerbungsformular nutzt für den Versand einen SMTP-Dienst des Auftraggebers oder des Hosting-Anbieters; konkrete Zugangsdaten und Absenderadressen werden vor Umsetzung festgelegt.</w:t>
      </w:r>
    </w:p>
    <w:p>
      <w:pPr>
        <w:pStyle w:val="ListBullet"/>
        <w:numPr>
          <w:ilvl w:val="0"/>
          <w:numId w:val="1"/>
        </w:numPr>
      </w:pPr>
      <w:r>
        <w:t xml:space="preserve">Das bestehende URL-Inventar wird durch einen Crawl und, soweit verfügbar, durch einen Export des bisherigen CMS ermittelt.</w:t>
      </w:r>
    </w:p>
    <w:p>
      <w:pPr>
        <w:pStyle w:val="ListBullet"/>
        <w:numPr>
          <w:ilvl w:val="0"/>
          <w:numId w:val="1"/>
        </w:numPr>
      </w:pPr>
      <w:r>
        <w:t xml:space="preserve">Seiten, Medien, Produktdaten, Stellenanzeigen, Metadaten und Sprachvarianten werden in einem abgestimmten Mapping den neuen Inhaltstypen zugeordnet.</w:t>
      </w:r>
    </w:p>
    <w:p>
      <w:pPr>
        <w:pStyle w:val="ListBullet"/>
        <w:numPr>
          <w:ilvl w:val="0"/>
          <w:numId w:val="1"/>
        </w:numPr>
      </w:pPr>
      <w:r>
        <w:t xml:space="preserve">Die Weiterleitungsmatrix wird als versionierte Tabelle geführt und vor dem Go-live automatisiert gegen die alte URL-Struktur getestet.</w:t>
      </w:r>
    </w:p>
    <w:p>
      <w:pPr>
        <w:pStyle w:val="ListBullet"/>
        <w:numPr>
          <w:ilvl w:val="0"/>
          <w:numId w:val="1"/>
        </w:numPr>
      </w:pPr>
      <w:r>
        <w:t xml:space="preserve">Zum Go-live werden Inhaltsimport, Redirects, DNS- beziehungsweise Webserver-Konfiguration und Suchmaschinensteuerung in einem abgestimmten Umschaltplan ausgeführt.</w:t>
      </w:r>
    </w:p>
    <w:p>
      <w:pPr>
        <w:pStyle w:val="Heading1"/>
      </w:pPr>
      <w:r>
        <w:t xml:space="preserve">6. Datenschutz und IT-Sicherheit</w:t>
      </w:r>
    </w:p>
    <w:p>
      <w:pPr>
        <w:pStyle w:val="Normal"/>
      </w:pPr>
      <w:r>
        <w:t xml:space="preserve">Wir setzen die Verarbeitung personenbezogener Daten nach den Grundsätzen der DSGVO um und dokumentieren die hierfür erforderlichen technischen und organisatorischen Maßnahmen.</w:t>
      </w:r>
    </w:p>
    <w:p>
      <w:pPr>
        <w:pStyle w:val="Normal"/>
      </w:pPr>
      <w:r>
        <w:t xml:space="preserve">Besondere Aufmerksamkeit gilt den Bewerbungsdaten, da diese personenbezogene Unterlagen und gegebenenfalls besondere persönliche Informationen enthalten können.</w:t>
      </w:r>
    </w:p>
    <w:p>
      <w:pPr>
        <w:pStyle w:val="ListBullet"/>
        <w:numPr>
          <w:ilvl w:val="0"/>
          <w:numId w:val="1"/>
        </w:numPr>
      </w:pPr>
      <w:r>
        <w:t xml:space="preserve">Bewerbungsdaten werden nur für die Bearbeitung der Bewerbung verarbeitet; Pflichtangaben werden auf das erforderliche Maß begrenzt.</w:t>
      </w:r>
    </w:p>
    <w:p>
      <w:pPr>
        <w:pStyle w:val="ListBullet"/>
        <w:numPr>
          <w:ilvl w:val="0"/>
          <w:numId w:val="1"/>
        </w:numPr>
      </w:pPr>
      <w:r>
        <w:t xml:space="preserve">Das Formular enthält eine dokumentierte Einwilligung beziehungsweise Datenschutzinformation und übermittelt Daten ausschließlich über verschlüsselte Verbindungen.</w:t>
      </w:r>
    </w:p>
    <w:p>
      <w:pPr>
        <w:pStyle w:val="ListBullet"/>
        <w:numPr>
          <w:ilvl w:val="0"/>
          <w:numId w:val="1"/>
        </w:numPr>
      </w:pPr>
      <w:r>
        <w:t xml:space="preserve">Zugriff auf Bewerbungsdaten erhalten nur die vom Auftraggeber benannten Empfänger. Administrations- und Redaktionsrechte werden nach dem Prinzip der geringsten Berechtigung vergeben.</w:t>
      </w:r>
    </w:p>
    <w:p>
      <w:pPr>
        <w:pStyle w:val="ListBullet"/>
        <w:numPr>
          <w:ilvl w:val="0"/>
          <w:numId w:val="1"/>
        </w:numPr>
      </w:pPr>
      <w:r>
        <w:t xml:space="preserve">Bewerbungsdaten werden nach sechs Monaten nach Abschluss des Bewerbungsverfahrens gelöscht, sofern keine abweichende rechtliche Grundlage oder Einwilligung vorliegt (Annahme).</w:t>
      </w:r>
    </w:p>
    <w:p>
      <w:pPr>
        <w:pStyle w:val="ListBullet"/>
        <w:numPr>
          <w:ilvl w:val="0"/>
          <w:numId w:val="1"/>
        </w:numPr>
      </w:pPr>
      <w:r>
        <w:t xml:space="preserve">Hosting- und gegebenenfalls Versanddienstleister werden auf Auftragsverarbeitung, Datenstandort Deutschland und geeignete Sicherheitsmaßnahmen geprüft.</w:t>
      </w:r>
    </w:p>
    <w:p>
      <w:pPr>
        <w:pStyle w:val="ListBullet"/>
        <w:numPr>
          <w:ilvl w:val="0"/>
          <w:numId w:val="1"/>
        </w:numPr>
      </w:pPr>
      <w:r>
        <w:t xml:space="preserve">Zu den TOMs gehören Patchmanagement, sichere Passwörter, Mehr-Faktor-Authentifizierung, TLS, Backup, Wiederherstellungstest, Protokollierung und ein dokumentierter Prozess für Sicherheitsvorfälle.</w:t>
      </w:r>
    </w:p>
    <w:p>
      <w:pPr>
        <w:pStyle w:val="ListBullet"/>
        <w:numPr>
          <w:ilvl w:val="0"/>
          <w:numId w:val="1"/>
        </w:numPr>
      </w:pPr>
      <w:r>
        <w:t xml:space="preserve">Analyse- oder Marketingdienste werden nur nach Freigabe des Auftraggebers und mit einer abgestimmten Einwilligungs- und Cookie-Konfiguration eingebunden (Annahme).</w:t>
      </w:r>
    </w:p>
    <w:p>
      <w:pPr>
        <w:pStyle w:val="Heading1"/>
      </w:pPr>
      <w:r>
        <w:t xml:space="preserve">7. Test- und Abnahmekonzept</w:t>
      </w:r>
    </w:p>
    <w:p>
      <w:pPr>
        <w:pStyle w:val="Normal"/>
      </w:pPr>
      <w:r>
        <w:t xml:space="preserve">Wir testen die Lösung stufenweise von einzelnen Komponenten bis zur vollständigen Abnahme in einer produktionsnahen Staging-Umgebung. Testergebnisse, Fehler und Nachtests werden in einem zentralen Testprotokoll dokumentiert.</w:t>
      </w:r>
    </w:p>
    <w:p>
      <w:pPr>
        <w:pStyle w:val="Normal"/>
      </w:pPr>
      <w:r>
        <w:t xml:space="preserve">Die Abnahme erfolgt anhand der Anforderungen P-01 bis P-12 und Q-01 bis Q-06 sowie der freigegebenen Inhalts- und Designvorlagen.</w:t>
      </w:r>
    </w:p>
    <w:p>
      <w:pPr>
        <w:pStyle w:val="ListBullet"/>
        <w:numPr>
          <w:ilvl w:val="0"/>
          <w:numId w:val="1"/>
        </w:numPr>
      </w:pPr>
      <w:r>
        <w:t xml:space="preserve">Komponententests prüfen Datenmodell, Filterlogik, Formularvalidierung, Versand, Sprachumschaltung und Weiterleitungsregeln.</w:t>
      </w:r>
    </w:p>
    <w:p>
      <w:pPr>
        <w:pStyle w:val="ListBullet"/>
        <w:numPr>
          <w:ilvl w:val="0"/>
          <w:numId w:val="1"/>
        </w:numPr>
      </w:pPr>
      <w:r>
        <w:t xml:space="preserve">Integrationstests prüfen CMS, Datenbank, Medienablage, SMTP-Versand, Hosting und Monitoring.</w:t>
      </w:r>
    </w:p>
    <w:p>
      <w:pPr>
        <w:pStyle w:val="ListBullet"/>
        <w:numPr>
          <w:ilvl w:val="0"/>
          <w:numId w:val="1"/>
        </w:numPr>
      </w:pPr>
      <w:r>
        <w:t xml:space="preserve">Systemtests decken Navigation, Produktkatalog, Filter, Karrierebereich, Bewerbungsprozess, responsives Verhalten und beide Sprachen ab.</w:t>
      </w:r>
    </w:p>
    <w:p>
      <w:pPr>
        <w:pStyle w:val="ListBullet"/>
        <w:numPr>
          <w:ilvl w:val="0"/>
          <w:numId w:val="1"/>
        </w:numPr>
      </w:pPr>
      <w:r>
        <w:t xml:space="preserve">Ein Accessibility-Test kombiniert automatisierte Werkzeuge mit manueller Tastatur- und Screenreader-Prüfung für die Kernseiten.</w:t>
      </w:r>
    </w:p>
    <w:p>
      <w:pPr>
        <w:pStyle w:val="ListBullet"/>
        <w:numPr>
          <w:ilvl w:val="0"/>
          <w:numId w:val="1"/>
        </w:numPr>
      </w:pPr>
      <w:r>
        <w:t xml:space="preserve">Ein SEO-Test prüft URL-Migration, HTTP-Statuscodes, Metadaten, Canonical, hreflang, Sitemap und Robots-Regeln.</w:t>
      </w:r>
    </w:p>
    <w:p>
      <w:pPr>
        <w:pStyle w:val="ListBullet"/>
        <w:numPr>
          <w:ilvl w:val="0"/>
          <w:numId w:val="1"/>
        </w:numPr>
      </w:pPr>
      <w:r>
        <w:t xml:space="preserve">Vor der Abnahme werden alle MUSS-Anforderungen erfüllt, kritische und hohe Fehler behoben und die Betriebs- sowie Redaktionsdokumentation übergeben.</w:t>
      </w:r>
    </w:p>
    <w:p>
      <w:pPr>
        <w:pStyle w:val="Heading1"/>
      </w:pPr>
      <w:r>
        <w:t xml:space="preserve">8. Projektphasen, Rollen und Zeitplan</w:t>
      </w:r>
    </w:p>
    <w:p>
      <w:pPr>
        <w:pStyle w:val="Normal"/>
      </w:pPr>
      <w:r>
        <w:t xml:space="preserve">Für die Umsetzung wird eine Projektdauer von etwa 14 Kalenderwochen ab vollständiger Beauftragung und Bereitstellung der benötigten Inhalte angenommen (Annahme).</w:t>
      </w:r>
    </w:p>
    <w:p>
      <w:pPr>
        <w:pStyle w:val="Normal"/>
      </w:pPr>
      <w:r>
        <w:t xml:space="preserve">Wir steuern das Projekt mit festen Abstimmungen, einem freigegebenen Backlog und formalen Übergaben zwischen Konzeption, Entwicklung, Migration, Test und Go-live.</w:t>
      </w:r>
    </w:p>
    <w:p>
      <w:pPr>
        <w:pStyle w:val="ListBullet"/>
        <w:numPr>
          <w:ilvl w:val="0"/>
          <w:numId w:val="1"/>
        </w:numPr>
      </w:pPr>
      <w:r>
        <w:t xml:space="preserve">Phase 1, Woche 1–2: Anforderungsworkshops, Bestandsaufnahme, URL-Crawl, CMS-Auswahl und technisches Feinkonzept.</w:t>
      </w:r>
    </w:p>
    <w:p>
      <w:pPr>
        <w:pStyle w:val="ListBullet"/>
        <w:numPr>
          <w:ilvl w:val="0"/>
          <w:numId w:val="1"/>
        </w:numPr>
      </w:pPr>
      <w:r>
        <w:t xml:space="preserve">Phase 2, Woche 3–4: Informationsarchitektur, Datenmodell für Produkte und Stellen, UX-/UI-Konzept, Barrierefreiheitskonzept und Redirect-Konzept.</w:t>
      </w:r>
    </w:p>
    <w:p>
      <w:pPr>
        <w:pStyle w:val="ListBullet"/>
        <w:numPr>
          <w:ilvl w:val="0"/>
          <w:numId w:val="1"/>
        </w:numPr>
      </w:pPr>
      <w:r>
        <w:t xml:space="preserve">Phase 3, Woche 5–9: CMS-Konfiguration, Frontend-Entwicklung, Produktkatalog, Filter, Karriereseite, Bewerbungsformular und Schnittstellen.</w:t>
      </w:r>
    </w:p>
    <w:p>
      <w:pPr>
        <w:pStyle w:val="ListBullet"/>
        <w:numPr>
          <w:ilvl w:val="0"/>
          <w:numId w:val="1"/>
        </w:numPr>
      </w:pPr>
      <w:r>
        <w:t xml:space="preserve">Phase 4, Woche 8–11: Inhaltsaufbereitung, deutsche und englische Befüllung, Produktdatenimport, Medienmigration und Redirect-Migration.</w:t>
      </w:r>
    </w:p>
    <w:p>
      <w:pPr>
        <w:pStyle w:val="ListBullet"/>
        <w:numPr>
          <w:ilvl w:val="0"/>
          <w:numId w:val="1"/>
        </w:numPr>
      </w:pPr>
      <w:r>
        <w:t xml:space="preserve">Phase 5, Woche 12–13: System-, Performance-, Sicherheits-, Accessibility- und SEO-Tests sowie Fehlerkorrekturen.</w:t>
      </w:r>
    </w:p>
    <w:p>
      <w:pPr>
        <w:pStyle w:val="ListBullet"/>
        <w:numPr>
          <w:ilvl w:val="0"/>
          <w:numId w:val="1"/>
        </w:numPr>
      </w:pPr>
      <w:r>
        <w:t xml:space="preserve">Phase 6, Woche 14: Abnahme, Redaktionsschulung, Betriebsübergabe, Go-live und Nachkontrolle.</w:t>
      </w:r>
    </w:p>
    <w:p>
      <w:pPr>
        <w:pStyle w:val="ListBullet"/>
        <w:numPr>
          <w:ilvl w:val="0"/>
          <w:numId w:val="1"/>
        </w:numPr>
      </w:pPr>
      <w:r>
        <w:t xml:space="preserve">Auftragnehmerrollen sind Projektleitung, Solution Architect, UX/UI, CMS- und Frontend-Entwicklung, QA, SEO und Betrieb. Auftraggeberrollen sind fachliche Projektleitung, Redaktion, HR, IT und die benannte Freigabestelle.</w:t>
      </w:r>
    </w:p>
    <w:p>
      <w:pPr>
        <w:pStyle w:val="ListBullet"/>
        <w:numPr>
          <w:ilvl w:val="0"/>
          <w:numId w:val="1"/>
        </w:numPr>
      </w:pPr>
      <w:r>
        <w:t xml:space="preserve">Der Zeitplan setzt voraus, dass der Auftraggeber Inhalte, Übersetzungen, Produktdaten, Stelleninformationen und Freigaben innerhalb der vereinbarten Prüffristen bereitstellt (Annahme).</w:t>
      </w:r>
    </w:p>
    <w:p>
      <w:pPr>
        <w:pStyle w:val="Heading1"/>
      </w:pPr>
      <w:r>
        <w:t xml:space="preserve">9. Betrieb, Support und Wartung</w:t>
      </w:r>
    </w:p>
    <w:p>
      <w:pPr>
        <w:pStyle w:val="Normal"/>
      </w:pPr>
      <w:r>
        <w:t xml:space="preserve">Nach dem Go-live übernehmen wir den technischen Betrieb beziehungsweise koordinieren ihn mit dem Hosting-Partner in Deutschland. Der Betrieb umfasst Überwachung, Sicherungen, Sicherheitsupdates, Fehleranalyse und dokumentierte Wartungsfenster.</w:t>
      </w:r>
    </w:p>
    <w:p>
      <w:pPr>
        <w:pStyle w:val="Normal"/>
      </w:pPr>
      <w:r>
        <w:t xml:space="preserve">Für Support und Wartung wird ein Servicefenster montags bis freitags von 09:00 bis 17:00 Uhr deutscher Zeit angenommen (Annahme).</w:t>
      </w:r>
    </w:p>
    <w:p>
      <w:pPr>
        <w:pStyle w:val="ListBullet"/>
        <w:numPr>
          <w:ilvl w:val="0"/>
          <w:numId w:val="1"/>
        </w:numPr>
      </w:pPr>
      <w:r>
        <w:t xml:space="preserve">Kritische Störungen, insbesondere vollständige Nichterreichbarkeit oder Verlust der Bewerbungsübermittlung, erhalten eine Reaktionszeit von höchstens vier Geschäfts- und Betriebsstunden (Annahme).</w:t>
      </w:r>
    </w:p>
    <w:p>
      <w:pPr>
        <w:pStyle w:val="ListBullet"/>
        <w:numPr>
          <w:ilvl w:val="0"/>
          <w:numId w:val="1"/>
        </w:numPr>
      </w:pPr>
      <w:r>
        <w:t xml:space="preserve">Hohe Störungen werden innerhalb eines Geschäftstags bewertet; normale Änderungs- und Inhaltsanfragen werden im vereinbarten Wartungs- oder Projektbacklog eingeplant (Annahme).</w:t>
      </w:r>
    </w:p>
    <w:p>
      <w:pPr>
        <w:pStyle w:val="ListBullet"/>
        <w:numPr>
          <w:ilvl w:val="0"/>
          <w:numId w:val="1"/>
        </w:numPr>
      </w:pPr>
      <w:r>
        <w:t xml:space="preserve">CMS-, Framework- und Sicherheitsupdates werden bewertet, in einer Staging-Umgebung getestet und anschließend mit dokumentiertem Rollback-Verfahren produktiv eingespielt.</w:t>
      </w:r>
    </w:p>
    <w:p>
      <w:pPr>
        <w:pStyle w:val="ListBullet"/>
        <w:numPr>
          <w:ilvl w:val="0"/>
          <w:numId w:val="1"/>
        </w:numPr>
      </w:pPr>
      <w:r>
        <w:t xml:space="preserve">Backups, Monitoring, Wartungsmaßnahmen, Sicherheitsereignisse und Wiederherstellungstests werden nachvollziehbar protokolliert.</w:t>
      </w:r>
    </w:p>
    <w:p>
      <w:pPr>
        <w:pStyle w:val="ListBullet"/>
        <w:numPr>
          <w:ilvl w:val="0"/>
          <w:numId w:val="1"/>
        </w:numPr>
      </w:pPr>
      <w:r>
        <w:t xml:space="preserve">Zum Betriebsübergang übergeben wir Administrations- und Redaktionsdokumentation, Zugangskonzept, Datenmodell, Deploymentbeschreibung, Backup-/Restore-Anleitung und bekannte Einschränkungen.</w:t>
      </w:r>
    </w:p>
    <w:p>
      <w:pPr>
        <w:pStyle w:val="ListBullet"/>
        <w:numPr>
          <w:ilvl w:val="0"/>
          <w:numId w:val="1"/>
        </w:numPr>
      </w:pPr>
      <w:r>
        <w:t xml:space="preserve">Nach dem Go-live führen wir eine technische Nachkontrolle der wichtigsten URLs, Weiterleitungen, Formulare, Übersetzungen und Monitoring-Alarme durch.</w:t>
      </w:r>
    </w:p>
    <w:p>
      <w:pPr>
        <w:pStyle w:val="Heading1"/>
      </w:pPr>
      <w:r>
        <w:t xml:space="preserve">Offene Punkte und zu klärende Annahmen</w:t>
      </w:r>
    </w:p>
    <w:p>
      <w:pPr>
        <w:pStyle w:val="ListBullet"/>
        <w:numPr>
          <w:ilvl w:val="0"/>
          <w:numId w:val="1"/>
        </w:numPr>
      </w:pPr>
      <w:r>
        <w:t xml:space="preserve">Welches CMS und welche Hosting- beziehungsweise Betriebsplattform werden verbindlich eingesetzt, und sind Lizenzen oder bestehende Rahmenverträge zu berücksichtigen?</w:t>
      </w:r>
    </w:p>
    <w:p>
      <w:pPr>
        <w:pStyle w:val="ListBullet"/>
        <w:numPr>
          <w:ilvl w:val="0"/>
          <w:numId w:val="1"/>
        </w:numPr>
      </w:pPr>
      <w:r>
        <w:t xml:space="preserve">Wie lautet die bestehende Website-URL, welches CMS und welche Exportmöglichkeiten bestehen, und welche Inhalte, Medien und URLs müssen tatsächlich migriert werden?</w:t>
      </w:r>
    </w:p>
    <w:p>
      <w:pPr>
        <w:pStyle w:val="ListBullet"/>
        <w:numPr>
          <w:ilvl w:val="0"/>
          <w:numId w:val="1"/>
        </w:numPr>
      </w:pPr>
      <w:r>
        <w:t xml:space="preserve">Wie viele Produkte gibt es, welche Produktfelder und Filtermerkmale werden benötigt, und welche Dokument- und Medienformate sind zugelassen?</w:t>
      </w:r>
    </w:p>
    <w:p>
      <w:pPr>
        <w:pStyle w:val="ListBullet"/>
        <w:numPr>
          <w:ilvl w:val="0"/>
          <w:numId w:val="1"/>
        </w:numPr>
      </w:pPr>
      <w:r>
        <w:t xml:space="preserve">Wie werden Stellenanzeigen bereitgestellt, an welche Empfänger werden Bewerbungen versendet, und ist eine Anbindung an ein Bewerbermanagementsystem erforderlich?</w:t>
      </w:r>
    </w:p>
    <w:p>
      <w:pPr>
        <w:pStyle w:val="ListBullet"/>
        <w:numPr>
          <w:ilvl w:val="0"/>
          <w:numId w:val="1"/>
        </w:numPr>
      </w:pPr>
      <w:r>
        <w:t xml:space="preserve">Welche Domain-, DNS-, SMTP-, Absender- und Empfängerinformationen sowie gegebenenfalls Analyse- oder Marketingdienste sollen verwendet werden?</w:t>
      </w:r>
    </w:p>
    <w:p>
      <w:pPr>
        <w:pStyle w:val="ListBullet"/>
        <w:numPr>
          <w:ilvl w:val="0"/>
          <w:numId w:val="1"/>
        </w:numPr>
      </w:pPr>
      <w:r>
        <w:t xml:space="preserve">Welche verbindlichen Zielwerte gelten für Verfügbarkeit, Performance, RPO, RTO, Supportzeiten und Wartungsfenster?</w:t>
      </w:r>
    </w:p>
    <w:p>
      <w:pPr>
        <w:pStyle w:val="ListBullet"/>
        <w:numPr>
          <w:ilvl w:val="0"/>
          <w:numId w:val="1"/>
        </w:numPr>
      </w:pPr>
      <w:r>
        <w:t xml:space="preserve">Wer liefert und prüft die deutschen und englischen Inhalte, Produktdaten und Übersetzungen, und welche Freigabezeiten gelten?</w:t>
      </w:r>
    </w:p>
    <w:p>
      <w:pPr>
        <w:pStyle w:val="ListBullet"/>
        <w:numPr>
          <w:ilvl w:val="0"/>
          <w:numId w:val="1"/>
        </w:numPr>
      </w:pPr>
      <w:r>
        <w:t xml:space="preserve">Welcher verbindliche Go-live-Termin, welche Ansprechpartner und welche Abnahmeorganisation werden vom Auftraggeber festgelegt?</w:t>
      </w:r>
    </w:p>
    <w:p>
      <w:pPr>
        <w:pStyle w:val="Normal"/>
        <w:spacing w:before="480"/>
      </w:pPr>
      <w:r>
        <w:rPr>
          <w:color w:val="9CA3AF"/>
          <w:sz w:val="16"/>
        </w:rPr>
        <w:t xml:space="preserve">Erstellt mit PathHub AI — pathhub.ai · daraus einen Projektplan erstellen: app.pathhub.ai/try</w:t>
      </w:r>
    </w:p>
    <w:sectPr>
      <w:pgSz w:w="11906" w:h="16838"/>
      <w:pgMar w:top="1134" w:right="1134" w:bottom="1134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de-DE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80"/>
    </w:pPr>
    <w:rPr>
      <w:b/>
      <w:color w:val="1E1B4B"/>
      <w:sz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6B7280"/>
      <w:sz w:val="24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color w:val="4338CA"/>
      <w:sz w:val="30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b/>
      <w:color w:val="1F2937"/>
      <w:sz w:val="24"/>
    </w:rPr>
  </w:style>
  <w:style w:type="paragraph" w:styleId="ListBullet">
    <w:name w:val="List Bullet"/>
    <w:basedOn w:val="Normal"/>
    <w:pPr>
      <w:spacing w:after="60"/>
      <w:ind w:left="360" w:hanging="360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Pflichtenheft – Relaunch der zweisprachigen Website eines Industriezulieferers</dc:title>
  <dc:creator>PathHub AI</dc:creator>
  <dcterms:created xsi:type="dcterms:W3CDTF">2026-10-09T09:13:27Z</dcterms:created>
</cp:coreProperties>
</file>